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购买自住住房提取住房公积金服务指南</w:t>
      </w:r>
    </w:p>
    <w:p>
      <w:pPr>
        <w:widowControl/>
        <w:shd w:val="clear" w:color="auto" w:fill="FFFFFF"/>
        <w:spacing w:line="360" w:lineRule="atLeast"/>
        <w:jc w:val="center"/>
        <w:rPr>
          <w:rFonts w:hint="eastAsia" w:ascii="仿宋" w:hAnsi="仿宋" w:eastAsia="仿宋" w:cs="宋体"/>
          <w:color w:val="656565"/>
          <w:kern w:val="0"/>
          <w:sz w:val="32"/>
          <w:szCs w:val="32"/>
          <w:lang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2023-</w:t>
      </w:r>
      <w:r>
        <w:rPr>
          <w:rFonts w:hint="eastAsia" w:ascii="仿宋" w:hAnsi="仿宋" w:eastAsia="仿宋" w:cs="宋体"/>
          <w:bCs/>
          <w:color w:val="000000"/>
          <w:kern w:val="0"/>
          <w:sz w:val="32"/>
          <w:szCs w:val="32"/>
          <w:lang w:val="en-US" w:eastAsia="zh-CN"/>
        </w:rPr>
        <w:t>5</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48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缴存职工</w:t>
      </w:r>
      <w:r>
        <w:rPr>
          <w:rFonts w:hint="eastAsia" w:ascii="仿宋" w:hAnsi="仿宋" w:eastAsia="仿宋" w:cs="宋体"/>
          <w:bCs/>
          <w:color w:val="000000"/>
          <w:kern w:val="0"/>
          <w:sz w:val="32"/>
          <w:szCs w:val="32"/>
        </w:rPr>
        <w:t>购买自住住房</w:t>
      </w:r>
      <w:r>
        <w:rPr>
          <w:rFonts w:hint="eastAsia" w:ascii="仿宋" w:hAnsi="仿宋" w:eastAsia="仿宋" w:cs="宋体"/>
          <w:color w:val="000000"/>
          <w:kern w:val="0"/>
          <w:sz w:val="32"/>
          <w:szCs w:val="32"/>
        </w:rPr>
        <w:t>的，可以申请提取住房公积金。</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自住住房是指职工工作、生活（以工作单位或户籍为准）所在市辖区内居住，并对该房屋拥有所有权的住房，包括普通商品房、自建房、全额集资建房、经济适用住房、法拍房等，不包括无合法产权的住房、商业用房、办公用房、商铺、车库、地下室等非自住住房的构筑物。</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缴存职工购买自住住房，提取本人住房公积金账户余额后仍不足以支付该笔住房消费支出的，其配偶、父母、子女（以下简称直系亲属）可在限额内按规定提取各自的住房公积金。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560" w:lineRule="exact"/>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自治区住房城乡建设厅关于推进住房公积金业务“一事通办”改革的通知》（桂建金〔2018〕24号）;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r>
        <w:rPr>
          <w:rFonts w:hint="eastAsia" w:ascii="仿宋" w:hAnsi="仿宋" w:eastAsia="仿宋" w:cs="宋体"/>
          <w:color w:val="000000"/>
          <w:kern w:val="0"/>
          <w:sz w:val="32"/>
          <w:szCs w:val="32"/>
          <w:lang w:eastAsia="zh-CN"/>
        </w:rPr>
        <w:t>《关于开办提取住房公积金直接支付购房首付款业务的通知（试行）》（柳房金</w:t>
      </w: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号</w:t>
      </w:r>
      <w:r>
        <w:rPr>
          <w:rFonts w:hint="eastAsia" w:ascii="仿宋" w:hAnsi="仿宋" w:eastAsia="仿宋" w:cs="宋体"/>
          <w:color w:val="000000"/>
          <w:kern w:val="0"/>
          <w:sz w:val="32"/>
          <w:szCs w:val="32"/>
          <w:lang w:eastAsia="zh-CN"/>
        </w:rPr>
        <w:t>）</w:t>
      </w:r>
      <w:r>
        <w:rPr>
          <w:rFonts w:hint="eastAsia" w:ascii="仿宋_GB2312" w:eastAsia="仿宋_GB2312"/>
          <w:sz w:val="32"/>
          <w:szCs w:val="32"/>
        </w:rPr>
        <w:t>同时满足以下条件的，可申请提取本人及配偶账户内的住房公积金用于支付购房首付款：（一）在本市范围内购买新建商品住房；（二）与售房企业签署《商品房买卖合同》；（三）商品房预售资金监管符合柳州市新建商品房预售资金监管相关规定。</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付清全部房款（不含贷款）或自购房合同备案</w:t>
      </w:r>
      <w:r>
        <w:rPr>
          <w:rFonts w:hint="eastAsia" w:ascii="仿宋" w:hAnsi="仿宋" w:eastAsia="仿宋" w:cs="宋体"/>
          <w:color w:val="000000"/>
          <w:kern w:val="0"/>
          <w:sz w:val="32"/>
          <w:szCs w:val="32"/>
          <w:lang w:eastAsia="zh-CN"/>
        </w:rPr>
        <w:t>（网签）</w:t>
      </w:r>
      <w:r>
        <w:rPr>
          <w:rFonts w:hint="eastAsia" w:ascii="仿宋" w:hAnsi="仿宋" w:eastAsia="仿宋" w:cs="宋体"/>
          <w:color w:val="000000"/>
          <w:kern w:val="0"/>
          <w:sz w:val="32"/>
          <w:szCs w:val="32"/>
        </w:rPr>
        <w:t>登记之日起2年内，每年提取一次。</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同一套房屋所有提取人的提取总额不超过该房屋实际已支付的价款。</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提取时间须与所购住房本次交易前的历次产权人以该住房购房为由提取公积金的时间间隔12个月以上（含12个月）。</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676"/>
        <w:gridCol w:w="1258"/>
        <w:gridCol w:w="6583"/>
      </w:tblGrid>
      <w:tr>
        <w:tblPrEx>
          <w:tblCellMar>
            <w:top w:w="0" w:type="dxa"/>
            <w:left w:w="0" w:type="dxa"/>
            <w:bottom w:w="0" w:type="dxa"/>
            <w:right w:w="0" w:type="dxa"/>
          </w:tblCellMar>
        </w:tblPrEx>
        <w:trPr>
          <w:trHeight w:val="315" w:hRule="atLeast"/>
          <w:tblCellSpacing w:w="0" w:type="dxa"/>
          <w:jc w:val="center"/>
        </w:trPr>
        <w:tc>
          <w:tcPr>
            <w:tcW w:w="193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left="158" w:leftChars="7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购房类型</w:t>
            </w:r>
          </w:p>
        </w:tc>
        <w:tc>
          <w:tcPr>
            <w:tcW w:w="6583"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1560" w:hRule="atLeast"/>
          <w:tblCellSpacing w:w="0" w:type="dxa"/>
          <w:jc w:val="center"/>
        </w:trPr>
        <w:tc>
          <w:tcPr>
            <w:tcW w:w="676" w:type="dxa"/>
            <w:vMerge w:val="restart"/>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一手自住房</w:t>
            </w:r>
          </w:p>
        </w:tc>
        <w:tc>
          <w:tcPr>
            <w:tcW w:w="1258"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hint="eastAsia" w:ascii="仿宋" w:hAnsi="仿宋" w:eastAsia="仿宋" w:cs="宋体"/>
                <w:b/>
                <w:bCs/>
                <w:color w:val="000000"/>
                <w:kern w:val="0"/>
                <w:sz w:val="32"/>
                <w:szCs w:val="32"/>
                <w:shd w:val="clear" w:color="auto" w:fill="FFFFFF"/>
              </w:rPr>
            </w:pPr>
            <w:r>
              <w:rPr>
                <w:rFonts w:hint="eastAsia" w:ascii="仿宋" w:hAnsi="仿宋" w:eastAsia="仿宋" w:cs="宋体"/>
                <w:b/>
                <w:bCs/>
                <w:color w:val="000000"/>
                <w:kern w:val="0"/>
                <w:sz w:val="32"/>
                <w:szCs w:val="32"/>
                <w:shd w:val="clear" w:color="auto" w:fill="FFFFFF"/>
              </w:rPr>
              <w:t>已支付首付款</w:t>
            </w:r>
          </w:p>
        </w:tc>
        <w:tc>
          <w:tcPr>
            <w:tcW w:w="6583" w:type="dxa"/>
            <w:tcBorders>
              <w:top w:val="single" w:color="auto" w:sz="4" w:space="0"/>
              <w:left w:val="nil"/>
              <w:bottom w:val="single" w:color="auto" w:sz="4" w:space="0"/>
              <w:right w:val="single" w:color="auto" w:sz="4"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2.购房合同（已备案，原件）；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3.首付款付款凭证或全额付款凭证（原件）。</w:t>
            </w:r>
          </w:p>
        </w:tc>
      </w:tr>
      <w:tr>
        <w:tblPrEx>
          <w:tblCellMar>
            <w:top w:w="0" w:type="dxa"/>
            <w:left w:w="0" w:type="dxa"/>
            <w:bottom w:w="0" w:type="dxa"/>
            <w:right w:w="0" w:type="dxa"/>
          </w:tblCellMar>
        </w:tblPrEx>
        <w:trPr>
          <w:trHeight w:val="1560" w:hRule="atLeast"/>
          <w:tblCellSpacing w:w="0" w:type="dxa"/>
          <w:jc w:val="center"/>
        </w:trPr>
        <w:tc>
          <w:tcPr>
            <w:tcW w:w="676" w:type="dxa"/>
            <w:vMerge w:val="continue"/>
            <w:tcBorders>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pPr>
          </w:p>
        </w:tc>
        <w:tc>
          <w:tcPr>
            <w:tcW w:w="125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hint="eastAsia" w:ascii="仿宋" w:hAnsi="仿宋" w:eastAsia="仿宋" w:cs="宋体"/>
                <w:b/>
                <w:bCs/>
                <w:color w:val="000000"/>
                <w:kern w:val="0"/>
                <w:sz w:val="32"/>
                <w:szCs w:val="32"/>
                <w:shd w:val="clear" w:color="auto" w:fill="FFFFFF"/>
              </w:rPr>
            </w:pPr>
            <w:r>
              <w:rPr>
                <w:rFonts w:hint="eastAsia" w:ascii="仿宋" w:hAnsi="仿宋" w:eastAsia="仿宋" w:cs="宋体"/>
                <w:b/>
                <w:bCs/>
                <w:color w:val="000000"/>
                <w:kern w:val="0"/>
                <w:sz w:val="32"/>
                <w:szCs w:val="32"/>
                <w:shd w:val="clear" w:color="auto" w:fill="FFFFFF"/>
                <w:lang w:eastAsia="zh-CN"/>
              </w:rPr>
              <w:t>直接</w:t>
            </w:r>
            <w:r>
              <w:rPr>
                <w:rFonts w:hint="eastAsia" w:ascii="仿宋" w:hAnsi="仿宋" w:eastAsia="仿宋" w:cs="宋体"/>
                <w:b/>
                <w:bCs/>
                <w:color w:val="000000"/>
                <w:kern w:val="0"/>
                <w:sz w:val="32"/>
                <w:szCs w:val="32"/>
                <w:shd w:val="clear" w:color="auto" w:fill="FFFFFF"/>
              </w:rPr>
              <w:t>支付首付款</w:t>
            </w:r>
          </w:p>
        </w:tc>
        <w:tc>
          <w:tcPr>
            <w:tcW w:w="6583" w:type="dxa"/>
            <w:tcBorders>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2.购房合同（已</w:t>
            </w:r>
            <w:r>
              <w:rPr>
                <w:rFonts w:hint="eastAsia" w:ascii="仿宋" w:hAnsi="仿宋" w:eastAsia="仿宋" w:cs="宋体"/>
                <w:color w:val="000000"/>
                <w:kern w:val="0"/>
                <w:sz w:val="32"/>
                <w:szCs w:val="32"/>
                <w:lang w:eastAsia="zh-CN"/>
              </w:rPr>
              <w:t>网签</w:t>
            </w:r>
            <w:r>
              <w:rPr>
                <w:rFonts w:hint="eastAsia" w:ascii="仿宋" w:hAnsi="仿宋" w:eastAsia="仿宋" w:cs="宋体"/>
                <w:color w:val="000000"/>
                <w:kern w:val="0"/>
                <w:sz w:val="32"/>
                <w:szCs w:val="32"/>
              </w:rPr>
              <w:t>，原件）；</w:t>
            </w:r>
          </w:p>
          <w:p>
            <w:pPr>
              <w:widowControl/>
              <w:shd w:val="clear" w:color="auto" w:fill="FFFFFF"/>
              <w:spacing w:line="255" w:lineRule="atLeast"/>
              <w:ind w:firstLine="210"/>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3.柳州市预售资金监管交款通知书（原件）。</w:t>
            </w:r>
          </w:p>
        </w:tc>
      </w:tr>
      <w:tr>
        <w:tblPrEx>
          <w:tblCellMar>
            <w:top w:w="0" w:type="dxa"/>
            <w:left w:w="0" w:type="dxa"/>
            <w:bottom w:w="0" w:type="dxa"/>
            <w:right w:w="0" w:type="dxa"/>
          </w:tblCellMar>
        </w:tblPrEx>
        <w:trPr>
          <w:trHeight w:val="990" w:hRule="atLeast"/>
          <w:tblCellSpacing w:w="0" w:type="dxa"/>
          <w:jc w:val="center"/>
        </w:trPr>
        <w:tc>
          <w:tcPr>
            <w:tcW w:w="193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二手自住房、司法拍卖住房</w:t>
            </w:r>
          </w:p>
        </w:tc>
        <w:tc>
          <w:tcPr>
            <w:tcW w:w="6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2.不动产权证（原件）；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3.契税发票（原件）。</w:t>
            </w:r>
            <w:r>
              <w:rPr>
                <w:rFonts w:hint="eastAsia" w:ascii="宋体" w:hAnsi="宋体" w:eastAsia="宋体" w:cs="宋体"/>
                <w:color w:val="000000"/>
                <w:kern w:val="0"/>
                <w:sz w:val="32"/>
                <w:szCs w:val="32"/>
              </w:rPr>
              <w:t>   </w:t>
            </w:r>
          </w:p>
        </w:tc>
      </w:tr>
      <w:tr>
        <w:tblPrEx>
          <w:tblCellMar>
            <w:top w:w="0" w:type="dxa"/>
            <w:left w:w="0" w:type="dxa"/>
            <w:bottom w:w="0" w:type="dxa"/>
            <w:right w:w="0" w:type="dxa"/>
          </w:tblCellMar>
        </w:tblPrEx>
        <w:trPr>
          <w:tblCellSpacing w:w="0" w:type="dxa"/>
          <w:jc w:val="center"/>
        </w:trPr>
        <w:tc>
          <w:tcPr>
            <w:tcW w:w="193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集资建房、市场运作房</w:t>
            </w:r>
          </w:p>
        </w:tc>
        <w:tc>
          <w:tcPr>
            <w:tcW w:w="6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2.批准文件（原件）；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3.购房合同或协议（原件）；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4.付款凭证（原件）。</w:t>
            </w:r>
          </w:p>
        </w:tc>
      </w:tr>
      <w:tr>
        <w:tblPrEx>
          <w:tblCellMar>
            <w:top w:w="0" w:type="dxa"/>
            <w:left w:w="0" w:type="dxa"/>
            <w:bottom w:w="0" w:type="dxa"/>
            <w:right w:w="0" w:type="dxa"/>
          </w:tblCellMar>
        </w:tblPrEx>
        <w:trPr>
          <w:trHeight w:val="420" w:hRule="atLeast"/>
          <w:tblCellSpacing w:w="0" w:type="dxa"/>
          <w:jc w:val="center"/>
        </w:trPr>
        <w:tc>
          <w:tcPr>
            <w:tcW w:w="193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房改房</w:t>
            </w:r>
          </w:p>
        </w:tc>
        <w:tc>
          <w:tcPr>
            <w:tcW w:w="6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2.购房合同（原件）；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3.产权评估报告书（原件）；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4.付款凭证（原件）。</w:t>
            </w:r>
          </w:p>
        </w:tc>
      </w:tr>
      <w:tr>
        <w:tblPrEx>
          <w:tblCellMar>
            <w:top w:w="0" w:type="dxa"/>
            <w:left w:w="0" w:type="dxa"/>
            <w:bottom w:w="0" w:type="dxa"/>
            <w:right w:w="0" w:type="dxa"/>
          </w:tblCellMar>
        </w:tblPrEx>
        <w:trPr>
          <w:tblCellSpacing w:w="0" w:type="dxa"/>
          <w:jc w:val="center"/>
        </w:trPr>
        <w:tc>
          <w:tcPr>
            <w:tcW w:w="193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购买保障性住房首付</w:t>
            </w:r>
          </w:p>
        </w:tc>
        <w:tc>
          <w:tcPr>
            <w:tcW w:w="6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2.准购证明（原件）；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3.购房合同（原件）。</w:t>
            </w:r>
          </w:p>
        </w:tc>
      </w:tr>
      <w:tr>
        <w:tblPrEx>
          <w:tblCellMar>
            <w:top w:w="0" w:type="dxa"/>
            <w:left w:w="0" w:type="dxa"/>
            <w:bottom w:w="0" w:type="dxa"/>
            <w:right w:w="0" w:type="dxa"/>
          </w:tblCellMar>
        </w:tblPrEx>
        <w:trPr>
          <w:trHeight w:val="555" w:hRule="atLeast"/>
          <w:tblCellSpacing w:w="0" w:type="dxa"/>
          <w:jc w:val="center"/>
        </w:trPr>
        <w:tc>
          <w:tcPr>
            <w:tcW w:w="193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直系亲属提取</w:t>
            </w:r>
          </w:p>
        </w:tc>
        <w:tc>
          <w:tcPr>
            <w:tcW w:w="6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2.根据本表对应的购房类型提供相应的购房材料（原件）；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3.户口簿、出生证、结婚证等直系亲属关系证明材料（原件）；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4.购房人不在我管理中心缴存的，应提供其缴存的公积金中心出具的该笔住房消费已提取住房公积金的凭证或回执（原件）。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w:t>
      </w:r>
      <w:r>
        <w:rPr>
          <w:rFonts w:hint="eastAsia" w:ascii="仿宋" w:hAnsi="仿宋" w:eastAsia="仿宋" w:cs="宋体"/>
          <w:color w:val="000000"/>
          <w:kern w:val="0"/>
          <w:sz w:val="32"/>
          <w:szCs w:val="32"/>
          <w:lang w:eastAsia="zh-CN"/>
        </w:rPr>
        <w:t>（仅限已支付首付款）</w:t>
      </w:r>
      <w:r>
        <w:rPr>
          <w:rFonts w:hint="eastAsia" w:ascii="仿宋" w:hAnsi="仿宋" w:eastAsia="仿宋" w:cs="宋体"/>
          <w:color w:val="000000"/>
          <w:kern w:val="0"/>
          <w:sz w:val="32"/>
          <w:szCs w:val="32"/>
        </w:rPr>
        <w:t>：</w:t>
      </w:r>
      <w:r>
        <w:rPr>
          <w:rFonts w:hint="eastAsia"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kern w:val="0"/>
          <w:sz w:val="32"/>
          <w:szCs w:val="32"/>
        </w:rPr>
        <w:t>可通过中心官网“网上服务大厅”办理提取→中心审批（不超过3个工作日）→提取转账。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柳州市住房公积金管理中心网站（http://wt.zfgjj.liuzhou.gov.cn/lznt/login.do）</w:t>
      </w:r>
    </w:p>
    <w:p>
      <w:pPr>
        <w:widowControl/>
        <w:numPr>
          <w:ilvl w:val="0"/>
          <w:numId w:val="3"/>
        </w:numPr>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中心官方微信公众号</w:t>
      </w:r>
      <w:r>
        <w:rPr>
          <w:rFonts w:hint="eastAsia" w:ascii="仿宋" w:hAnsi="仿宋" w:eastAsia="仿宋" w:cs="宋体"/>
          <w:color w:val="000000"/>
          <w:kern w:val="0"/>
          <w:sz w:val="32"/>
          <w:szCs w:val="32"/>
          <w:lang w:eastAsia="zh-CN"/>
        </w:rPr>
        <w:t>（仅限已支付首付款）</w:t>
      </w:r>
      <w:r>
        <w:rPr>
          <w:rFonts w:hint="eastAsia" w:ascii="仿宋" w:hAnsi="仿宋" w:eastAsia="仿宋" w:cs="宋体"/>
          <w:color w:val="000000"/>
          <w:kern w:val="0"/>
          <w:sz w:val="32"/>
          <w:szCs w:val="32"/>
        </w:rPr>
        <w:t>办理提取→中心审批（不超过3个工作日）→提取转账</w:t>
      </w:r>
    </w:p>
    <w:p>
      <w:pPr>
        <w:widowControl/>
        <w:shd w:val="clear" w:color="auto" w:fill="FFFFFF"/>
        <w:spacing w:line="405"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drawing>
          <wp:inline distT="0" distB="0" distL="114300" distR="114300">
            <wp:extent cx="1409700" cy="1533525"/>
            <wp:effectExtent l="0" t="0" r="0"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5"/>
                    <a:stretch>
                      <a:fillRect/>
                    </a:stretch>
                  </pic:blipFill>
                  <pic:spPr>
                    <a:xfrm>
                      <a:off x="0" y="0"/>
                      <a:ext cx="1414145" cy="1538360"/>
                    </a:xfrm>
                    <a:prstGeom prst="rect">
                      <a:avLst/>
                    </a:prstGeom>
                  </pic:spPr>
                </pic:pic>
              </a:graphicData>
            </a:graphic>
          </wp:inline>
        </w:drawing>
      </w:r>
    </w:p>
    <w:p>
      <w:pPr>
        <w:widowControl/>
        <w:shd w:val="clear" w:color="auto" w:fill="FFFFFF"/>
        <w:spacing w:line="405"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注意事项：满足以下条件即可网上办理：1、提取人在柳州市（含五县）范围内新购商品住房；2、提取人为购房人或购房人配偶；3、所购住房《商品房买卖合同》备案时间在2021年12月29日后，合同备案时间在2021年12月29日前的仍需到柜台申办。</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640070" cy="3305175"/>
            <wp:effectExtent l="0" t="0" r="17780" b="952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6"/>
                    <a:stretch>
                      <a:fillRect/>
                    </a:stretch>
                  </pic:blipFill>
                  <pic:spPr>
                    <a:xfrm>
                      <a:off x="0" y="0"/>
                      <a:ext cx="5640070" cy="3305175"/>
                    </a:xfrm>
                    <a:prstGeom prst="rect">
                      <a:avLst/>
                    </a:prstGeom>
                  </pic:spPr>
                </pic:pic>
              </a:graphicData>
            </a:graphic>
          </wp:inline>
        </w:drawing>
      </w:r>
    </w:p>
    <w:p>
      <w:pPr>
        <w:widowControl/>
        <w:shd w:val="clear" w:color="auto" w:fill="FFFFFF"/>
        <w:spacing w:line="405" w:lineRule="atLeast"/>
        <w:jc w:val="left"/>
        <w:rPr>
          <w:rFonts w:ascii="仿宋" w:hAnsi="仿宋" w:eastAsia="仿宋" w:cs="宋体"/>
          <w:color w:val="FF0000"/>
          <w:kern w:val="0"/>
          <w:sz w:val="32"/>
          <w:szCs w:val="32"/>
        </w:rPr>
      </w:pP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b/>
          <w:bCs/>
          <w:color w:val="000000"/>
          <w:kern w:val="0"/>
          <w:sz w:val="32"/>
          <w:szCs w:val="32"/>
        </w:rPr>
        <w:t>配偶提取：</w:t>
      </w:r>
      <w:r>
        <w:rPr>
          <w:rFonts w:hint="eastAsia" w:ascii="仿宋" w:hAnsi="仿宋" w:eastAsia="仿宋" w:cs="宋体"/>
          <w:color w:val="000000"/>
          <w:kern w:val="0"/>
          <w:sz w:val="32"/>
          <w:szCs w:val="32"/>
        </w:rPr>
        <w:t>以配偶的购房材料申请提取住房公积金的（1）广西区内登记结婚的，管理中心通过自治区民政婚姻信息平台查询，如信息缺失或有异议的，需提供结婚证（原件）。（2）广西区外登记结婚的，需提供结婚证（原件）。</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b/>
          <w:color w:val="000000"/>
          <w:kern w:val="0"/>
          <w:sz w:val="32"/>
          <w:szCs w:val="32"/>
        </w:rPr>
        <w:t>异地购房</w:t>
      </w:r>
      <w:r>
        <w:rPr>
          <w:rFonts w:hint="eastAsia" w:ascii="仿宋" w:hAnsi="仿宋" w:eastAsia="仿宋" w:cs="宋体"/>
          <w:color w:val="000000"/>
          <w:kern w:val="0"/>
          <w:sz w:val="32"/>
          <w:szCs w:val="32"/>
        </w:rPr>
        <w:t>：①属户籍地购房的，提供户籍证明（原件）。②属工作地购房的，提供单位出具的工作证明（原件）。</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bookmarkStart w:id="0" w:name="_Hlk536699313"/>
      <w:bookmarkEnd w:id="0"/>
      <w:r>
        <w:rPr>
          <w:rFonts w:hint="eastAsia" w:ascii="仿宋" w:hAnsi="仿宋" w:eastAsia="仿宋" w:cs="宋体"/>
          <w:color w:val="000000"/>
          <w:kern w:val="0"/>
          <w:sz w:val="32"/>
          <w:szCs w:val="32"/>
        </w:rPr>
        <w:t>3.</w:t>
      </w:r>
      <w:r>
        <w:rPr>
          <w:rFonts w:hint="eastAsia" w:ascii="仿宋" w:hAnsi="仿宋" w:eastAsia="仿宋" w:cs="宋体"/>
          <w:b/>
          <w:color w:val="000000"/>
          <w:kern w:val="0"/>
          <w:sz w:val="32"/>
          <w:szCs w:val="32"/>
        </w:rPr>
        <w:t>委托代办</w:t>
      </w:r>
      <w:r>
        <w:rPr>
          <w:rFonts w:hint="eastAsia" w:ascii="仿宋" w:hAnsi="仿宋" w:eastAsia="仿宋" w:cs="宋体"/>
          <w:color w:val="000000"/>
          <w:kern w:val="0"/>
          <w:sz w:val="32"/>
          <w:szCs w:val="32"/>
        </w:rPr>
        <w:t>：除申请人身份证原件和上表所列材料外，还需提供申请人书面授权委托书（需申请人签名按手印）和代办人身份证原件。住房公积金提取代办委托书可登录我中心网站下载。</w:t>
      </w:r>
      <w:r>
        <w:rPr>
          <w:rFonts w:hint="eastAsia" w:ascii="仿宋" w:hAnsi="仿宋" w:eastAsia="仿宋" w:cs="宋体"/>
          <w:color w:val="000000"/>
          <w:kern w:val="0"/>
          <w:sz w:val="32"/>
          <w:szCs w:val="32"/>
          <w:lang w:eastAsia="zh-CN"/>
        </w:rPr>
        <w:t>提取住房公积金直接支付购房首付款仅限于配偶代办。</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宋体"/>
          <w:b/>
          <w:color w:val="000000"/>
          <w:kern w:val="0"/>
          <w:sz w:val="32"/>
          <w:szCs w:val="32"/>
        </w:rPr>
        <w:t>多人共同购房：</w:t>
      </w:r>
      <w:r>
        <w:rPr>
          <w:rFonts w:ascii="仿宋" w:hAnsi="仿宋" w:eastAsia="仿宋" w:cs="宋体"/>
          <w:color w:val="000000"/>
          <w:kern w:val="0"/>
          <w:sz w:val="32"/>
          <w:szCs w:val="32"/>
        </w:rPr>
        <w:t>①</w:t>
      </w:r>
      <w:r>
        <w:rPr>
          <w:rFonts w:hint="eastAsia" w:ascii="仿宋" w:hAnsi="仿宋" w:eastAsia="仿宋" w:cs="宋体"/>
          <w:color w:val="000000"/>
          <w:kern w:val="0"/>
          <w:sz w:val="32"/>
          <w:szCs w:val="32"/>
        </w:rPr>
        <w:t>与配偶、直系亲属共同购房的，以上人员可以该次购房为由提取公积金。②与非配偶、非直系亲属共同购房的，仅限共有人中的一方提取公积金。</w:t>
      </w:r>
    </w:p>
    <w:p>
      <w:pPr>
        <w:widowControl/>
        <w:shd w:val="clear" w:color="auto" w:fill="FFFFFF"/>
        <w:spacing w:line="405" w:lineRule="atLeast"/>
        <w:ind w:firstLine="482"/>
        <w:jc w:val="left"/>
        <w:rPr>
          <w:rFonts w:ascii="仿宋" w:hAnsi="仿宋" w:eastAsia="仿宋" w:cs="宋体"/>
          <w:bCs/>
          <w:color w:val="000000"/>
          <w:kern w:val="0"/>
          <w:sz w:val="32"/>
          <w:szCs w:val="32"/>
        </w:rPr>
      </w:pPr>
      <w:r>
        <w:rPr>
          <w:rFonts w:hint="eastAsia" w:ascii="仿宋" w:hAnsi="仿宋" w:eastAsia="仿宋" w:cs="宋体"/>
          <w:color w:val="000000"/>
          <w:kern w:val="0"/>
          <w:sz w:val="32"/>
          <w:szCs w:val="32"/>
        </w:rPr>
        <w:t>5.</w:t>
      </w:r>
      <w:r>
        <w:rPr>
          <w:rFonts w:hint="eastAsia" w:ascii="仿宋" w:hAnsi="仿宋" w:eastAsia="仿宋" w:cs="宋体"/>
          <w:b/>
          <w:color w:val="000000"/>
          <w:kern w:val="0"/>
          <w:sz w:val="32"/>
          <w:szCs w:val="32"/>
        </w:rPr>
        <w:t>与配偶进行住房买卖交易：</w:t>
      </w:r>
      <w:r>
        <w:rPr>
          <w:rFonts w:hint="eastAsia" w:ascii="仿宋" w:hAnsi="仿宋" w:eastAsia="仿宋" w:cs="宋体"/>
          <w:bCs/>
          <w:color w:val="000000"/>
          <w:kern w:val="0"/>
          <w:sz w:val="32"/>
          <w:szCs w:val="32"/>
        </w:rPr>
        <w:t>以此为由申请提取住房公积金的，不予受理。</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1.收费标准：免费。</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2.政策咨询电话：（0772）12329</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职工个人公积金账户情况可通过柳州市住房公积金管理中心微信公众号，柳州市住房公积金管理中心网站http://zfgjj.liuzhou.gov.cn/“网上服务大厅”,龙城市民云APP，智桂通，支付宝，全国住房公积金公共服务小程序查询。</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4.绑定个人银行卡：</w:t>
      </w:r>
      <w:bookmarkStart w:id="1" w:name="_GoBack"/>
      <w:bookmarkEnd w:id="1"/>
      <w:r>
        <w:rPr>
          <w:rFonts w:hint="eastAsia" w:ascii="仿宋" w:hAnsi="仿宋" w:eastAsia="仿宋" w:cs="宋体"/>
          <w:color w:val="000000"/>
          <w:kern w:val="0"/>
          <w:sz w:val="32"/>
          <w:szCs w:val="32"/>
        </w:rPr>
        <w:t>确定提取资金转入资金已在我中心绑定的本人一类银行借记卡的，办理业务时可不提供相应银行卡。个人银行卡可登录我中心微信公众号进行绑定，办理业务前请确认所提供的银行卡状态正常。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427355</wp:posOffset>
                </wp:positionH>
                <wp:positionV relativeFrom="paragraph">
                  <wp:posOffset>337185</wp:posOffset>
                </wp:positionV>
                <wp:extent cx="1614805" cy="266700"/>
                <wp:effectExtent l="0" t="0" r="4445" b="0"/>
                <wp:wrapNone/>
                <wp:docPr id="2" name="文本框 1"/>
                <wp:cNvGraphicFramePr/>
                <a:graphic xmlns:a="http://schemas.openxmlformats.org/drawingml/2006/main">
                  <a:graphicData uri="http://schemas.microsoft.com/office/word/2010/wordprocessingShape">
                    <wps:wsp>
                      <wps:cNvSpPr txBox="1"/>
                      <wps:spPr>
                        <a:xfrm>
                          <a:off x="0" y="0"/>
                          <a:ext cx="161480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sz w:val="21"/>
                                <w:szCs w:val="21"/>
                              </w:rPr>
                            </w:pPr>
                            <w:r>
                              <w:rPr>
                                <w:rFonts w:hint="eastAsia" w:asciiTheme="minorHAnsi" w:eastAsiaTheme="minorEastAsia" w:cstheme="minorBidi"/>
                                <w:color w:val="000000" w:themeColor="dark1"/>
                                <w:sz w:val="21"/>
                                <w:szCs w:val="21"/>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3.65pt;margin-top:26.55pt;height:21pt;width:127.15pt;z-index:251660288;mso-width-relative:page;mso-height-relative:page;" fillcolor="#FFFFFF [3201]" filled="t" stroked="f" coordsize="21600,21600" o:gfxdata="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WCkENcAAAAIAQAADwAAAAAAAAABACAAAAAiAAAAZHJzL2Rvd25yZXYu&#10;eG1sUEsBAhQAFAAAAAgAh07iQA3dKWb8AQAA5QMAAA4AAAAAAAAAAQAgAAAAJgEAAGRycy9lMm9E&#10;b2MueG1sUEsFBgAAAAAGAAYAWQEAAJQFAAAAAA==&#10;">
                <v:fill on="t" focussize="0,0"/>
                <v:stroke on="f"/>
                <v:imagedata o:title=""/>
                <o:lock v:ext="edit" aspectratio="f"/>
                <v:textbox>
                  <w:txbxContent>
                    <w:p>
                      <w:pPr>
                        <w:pStyle w:val="5"/>
                        <w:spacing w:before="0" w:beforeAutospacing="0" w:after="0" w:afterAutospacing="0"/>
                        <w:rPr>
                          <w:sz w:val="21"/>
                          <w:szCs w:val="21"/>
                        </w:rPr>
                      </w:pPr>
                      <w:r>
                        <w:rPr>
                          <w:rFonts w:hint="eastAsia" w:asciiTheme="minorHAnsi" w:eastAsiaTheme="minorEastAsia" w:cstheme="minorBidi"/>
                          <w:color w:val="000000" w:themeColor="dark1"/>
                          <w:sz w:val="21"/>
                          <w:szCs w:val="21"/>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rPr>
        <w:t>6、全国住房公积金小程序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B2801"/>
    <w:multiLevelType w:val="singleLevel"/>
    <w:tmpl w:val="A84B2801"/>
    <w:lvl w:ilvl="0" w:tentative="0">
      <w:start w:val="2"/>
      <w:numFmt w:val="decimal"/>
      <w:lvlText w:val="%1."/>
      <w:lvlJc w:val="left"/>
      <w:pPr>
        <w:tabs>
          <w:tab w:val="left" w:pos="312"/>
        </w:tabs>
      </w:pPr>
    </w:lvl>
  </w:abstractNum>
  <w:abstractNum w:abstractNumId="1">
    <w:nsid w:val="040C7BBC"/>
    <w:multiLevelType w:val="singleLevel"/>
    <w:tmpl w:val="040C7BBC"/>
    <w:lvl w:ilvl="0" w:tentative="0">
      <w:start w:val="5"/>
      <w:numFmt w:val="chineseCounting"/>
      <w:suff w:val="nothing"/>
      <w:lvlText w:val="%1、"/>
      <w:lvlJc w:val="left"/>
      <w:rPr>
        <w:rFonts w:hint="eastAsia"/>
      </w:rPr>
    </w:lvl>
  </w:abstractNum>
  <w:abstractNum w:abstractNumId="2">
    <w:nsid w:val="5560DA46"/>
    <w:multiLevelType w:val="singleLevel"/>
    <w:tmpl w:val="5560DA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NjAzMTdiNWM4ODg2YWNlZTM1MjM1OWE1YWVmYzIifQ=="/>
  </w:docVars>
  <w:rsids>
    <w:rsidRoot w:val="00860CC5"/>
    <w:rsid w:val="00111439"/>
    <w:rsid w:val="001114CD"/>
    <w:rsid w:val="001C6084"/>
    <w:rsid w:val="0027331D"/>
    <w:rsid w:val="00297DDD"/>
    <w:rsid w:val="004C715F"/>
    <w:rsid w:val="00860CC5"/>
    <w:rsid w:val="009C136E"/>
    <w:rsid w:val="00A118F0"/>
    <w:rsid w:val="00B03DA7"/>
    <w:rsid w:val="00D50C22"/>
    <w:rsid w:val="00F9332E"/>
    <w:rsid w:val="08640AA2"/>
    <w:rsid w:val="1538032C"/>
    <w:rsid w:val="1AD52882"/>
    <w:rsid w:val="1B473796"/>
    <w:rsid w:val="1C2148A2"/>
    <w:rsid w:val="1E78666A"/>
    <w:rsid w:val="1F8A72F3"/>
    <w:rsid w:val="1FD632A9"/>
    <w:rsid w:val="20643FBE"/>
    <w:rsid w:val="20F36B91"/>
    <w:rsid w:val="21215C2B"/>
    <w:rsid w:val="24F15FE8"/>
    <w:rsid w:val="272703E5"/>
    <w:rsid w:val="29AC14BF"/>
    <w:rsid w:val="2C3C0CE2"/>
    <w:rsid w:val="2D261919"/>
    <w:rsid w:val="2E2A6297"/>
    <w:rsid w:val="32C87BD9"/>
    <w:rsid w:val="370D7641"/>
    <w:rsid w:val="3BF64E8B"/>
    <w:rsid w:val="3CD8428E"/>
    <w:rsid w:val="3F626FE3"/>
    <w:rsid w:val="43437AB7"/>
    <w:rsid w:val="447418EB"/>
    <w:rsid w:val="575A2877"/>
    <w:rsid w:val="5AEC7B96"/>
    <w:rsid w:val="62312A9A"/>
    <w:rsid w:val="64AB2934"/>
    <w:rsid w:val="669D0EBD"/>
    <w:rsid w:val="689618A9"/>
    <w:rsid w:val="6B855C05"/>
    <w:rsid w:val="6E052302"/>
    <w:rsid w:val="72807126"/>
    <w:rsid w:val="749018A2"/>
    <w:rsid w:val="7801164F"/>
    <w:rsid w:val="78CA7CDC"/>
    <w:rsid w:val="795A5FDB"/>
    <w:rsid w:val="7BD72DE3"/>
    <w:rsid w:val="7DA9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558</Words>
  <Characters>3186</Characters>
  <Lines>26</Lines>
  <Paragraphs>7</Paragraphs>
  <TotalTime>10</TotalTime>
  <ScaleCrop>false</ScaleCrop>
  <LinksUpToDate>false</LinksUpToDate>
  <CharactersWithSpaces>3737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2023-09-08T03:25:00Z</dcterms:created>
  <dc:creator>曾佳</dc:creator>
  <cp:lastModifiedBy>⭐⭐</cp:lastModifiedBy>
  <dcterms:modified xsi:type="dcterms:W3CDTF">2023-10-26T08:37:29Z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2FC9EC032CF74B9B8C0815353E9F4E11</vt:lpwstr>
  </property>
</Properties>
</file>