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right"/>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6"/>
          <w:szCs w:val="36"/>
        </w:rPr>
        <w:t>偿还购建自住住房贷款提取住房公积金服务指南</w:t>
      </w:r>
      <w:r>
        <w:rPr>
          <w:rFonts w:hint="eastAsia" w:cs="宋体" w:asciiTheme="minorEastAsia" w:hAnsiTheme="minorEastAsia"/>
          <w:b/>
          <w:bCs/>
          <w:color w:val="000000"/>
          <w:kern w:val="0"/>
          <w:sz w:val="36"/>
          <w:szCs w:val="36"/>
        </w:rPr>
        <w:t xml:space="preserve"> </w:t>
      </w:r>
      <w:r>
        <w:rPr>
          <w:rFonts w:hint="eastAsia" w:ascii="仿宋" w:hAnsi="仿宋" w:eastAsia="仿宋" w:cs="宋体"/>
          <w:bCs/>
          <w:color w:val="000000"/>
          <w:kern w:val="0"/>
          <w:sz w:val="32"/>
          <w:szCs w:val="32"/>
        </w:rPr>
        <w:t xml:space="preserve">                                                        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4</w:t>
      </w:r>
    </w:p>
    <w:p>
      <w:pPr>
        <w:widowControl/>
        <w:shd w:val="clear" w:color="auto" w:fill="FFFFFF"/>
        <w:spacing w:line="360" w:lineRule="atLeast"/>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360" w:lineRule="atLeast"/>
        <w:ind w:firstLine="640" w:firstLineChars="20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职工偿还购建自住住房贷款本息的，可以申请提取住房公积金。</w:t>
      </w:r>
    </w:p>
    <w:p>
      <w:pPr>
        <w:widowControl/>
        <w:shd w:val="clear" w:color="auto" w:fill="FFFFFF"/>
        <w:spacing w:line="36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自住住房是指职工工作、生活（以工作单位或户籍为准）所在市辖区内居住，并对该房屋拥有所有权的住房，包括普通商品房、自建房、全额集资建房、经济适用住房等，不包括无合法产权的住房、商业用房、办公用房、商铺、车库、地下室等非自住住房的构筑物。注：自住住房房产证或不动产权证的“房屋性质”或者“规划用途”需体现“居住”。</w:t>
      </w:r>
    </w:p>
    <w:p>
      <w:pPr>
        <w:widowControl/>
        <w:shd w:val="clear" w:color="auto" w:fill="FFFFFF"/>
        <w:spacing w:line="36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缴存职工偿还购建自住住房贷款本息，提取本人住房公积金账户余额后仍不足以支付该笔住房消费支出的，其</w:t>
      </w:r>
      <w:r>
        <w:rPr>
          <w:rFonts w:hint="eastAsia" w:ascii="仿宋" w:hAnsi="仿宋" w:eastAsia="仿宋" w:cs="宋体"/>
          <w:color w:val="000000"/>
          <w:kern w:val="0"/>
          <w:sz w:val="32"/>
          <w:szCs w:val="32"/>
          <w:lang w:eastAsia="zh-CN"/>
        </w:rPr>
        <w:t>配偶、</w:t>
      </w:r>
      <w:r>
        <w:rPr>
          <w:rFonts w:hint="eastAsia" w:ascii="仿宋" w:hAnsi="仿宋" w:eastAsia="仿宋" w:cs="宋体"/>
          <w:color w:val="000000"/>
          <w:kern w:val="0"/>
          <w:sz w:val="32"/>
          <w:szCs w:val="32"/>
        </w:rPr>
        <w:t>父母、子女（以下简称直系亲属）可在限额内按规定提取各自的住房公积金。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r>
        <w:rPr>
          <w:rFonts w:hint="eastAsia" w:ascii="仿宋" w:hAnsi="仿宋" w:eastAsia="仿宋" w:cs="宋体"/>
          <w:color w:val="000000"/>
          <w:kern w:val="0"/>
          <w:sz w:val="32"/>
          <w:szCs w:val="32"/>
        </w:rPr>
        <w:t>《自治区住房城乡建设厅关于推进住房公积金业务“一事通办”改革的通知》（桂建金〔2018〕24号）</w:t>
      </w:r>
      <w:r>
        <w:rPr>
          <w:rFonts w:hint="eastAsia" w:ascii="仿宋" w:hAnsi="仿宋" w:eastAsia="仿宋" w:cs="宋体"/>
          <w:color w:val="000000"/>
          <w:kern w:val="0"/>
          <w:sz w:val="32"/>
          <w:szCs w:val="32"/>
          <w:lang w:val="en-US" w:eastAsia="zh-CN"/>
        </w:rPr>
        <w:t>;一、取消购买二手房提取所需的付款凭证要件。取消建造、翻建自住住房提供所需的建设用地规划许可证、建设工程施工许可证、建设用地批准书、土地使用权证等要件。取消大修自住住房的大修工程预算书要件。取消区内异地住房公积金贷款还款提取的借款合同、还款证明等要件。取消出境提取所需的离职证明要件。死亡销户提取资金转入被继承人账户的，取消所需的继承权公证书、法院生效法律文书等要件；提取资金不转入被继承人账户的，任一第一顺序继承人均可办理，继承关系证明除公证书、法院文书外，也可提供结婚证、户口簿、被继承人所在单位证明等其他关系证明。 二、取消区内民政登记婚姻证明要件，由公积金中心通过自治区数据共享交换平台获取。取消区内缴存人使用情况证明要件，由公积金中心通过自治区住房公积金监管信息系统和中国人民银行个人征信系统获取或协查</w:t>
      </w:r>
      <w:r>
        <w:rPr>
          <w:rFonts w:hint="eastAsia" w:ascii="仿宋" w:hAnsi="仿宋" w:eastAsia="仿宋" w:cs="宋体"/>
          <w:color w:val="000000"/>
          <w:kern w:val="0"/>
          <w:sz w:val="32"/>
          <w:szCs w:val="32"/>
        </w:rPr>
        <w:t>。《自治区住房城乡建设厅财政厅中国人民银行南宁中心支行转发住房城乡建设部财政部中国人民银行关于切实提高住房公积金使用效率的通知》（桂建金管〔2015〕42号）： 四、缴存职工发生住房消费，本人住房公积金余额不足的，可以提取配偶、父母和子女（需经所有权人同意并出具证明）的住房公积金。</w:t>
      </w:r>
    </w:p>
    <w:p>
      <w:pPr>
        <w:widowControl/>
        <w:shd w:val="clear" w:color="auto" w:fill="FFFFFF"/>
        <w:spacing w:line="360"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w:t>
      </w:r>
      <w:r>
        <w:rPr>
          <w:rFonts w:hint="eastAsia" w:ascii="仿宋" w:hAnsi="仿宋" w:eastAsia="仿宋" w:cs="宋体"/>
          <w:b/>
          <w:color w:val="000000"/>
          <w:kern w:val="0"/>
          <w:sz w:val="32"/>
          <w:szCs w:val="32"/>
          <w:highlight w:val="none"/>
        </w:rPr>
        <w:t>频次</w:t>
      </w:r>
      <w:r>
        <w:rPr>
          <w:rFonts w:hint="eastAsia" w:ascii="仿宋" w:hAnsi="仿宋" w:eastAsia="仿宋" w:cs="宋体"/>
          <w:b/>
          <w:color w:val="000000"/>
          <w:kern w:val="0"/>
          <w:sz w:val="32"/>
          <w:szCs w:val="32"/>
        </w:rPr>
        <w:t>及额度</w:t>
      </w:r>
    </w:p>
    <w:p>
      <w:pPr>
        <w:widowControl/>
        <w:shd w:val="clear" w:color="auto" w:fill="FFFFFF"/>
        <w:spacing w:line="360" w:lineRule="atLeast"/>
        <w:ind w:firstLine="640" w:firstLineChars="200"/>
        <w:jc w:val="left"/>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rPr>
        <w:t>签订住房借款合同后每年或每隔几年提取一次</w:t>
      </w:r>
      <w:r>
        <w:rPr>
          <w:rFonts w:hint="eastAsia" w:ascii="仿宋" w:hAnsi="仿宋" w:eastAsia="仿宋" w:cs="宋体"/>
          <w:color w:val="000000"/>
          <w:kern w:val="0"/>
          <w:sz w:val="32"/>
          <w:szCs w:val="32"/>
          <w:highlight w:val="none"/>
          <w:lang w:val="en-US" w:eastAsia="zh-CN"/>
        </w:rPr>
        <w:t>,直至贷款本息全部结清起一年内</w:t>
      </w:r>
      <w:r>
        <w:rPr>
          <w:rFonts w:hint="eastAsia" w:ascii="仿宋" w:hAnsi="仿宋" w:eastAsia="仿宋" w:cs="宋体"/>
          <w:color w:val="000000"/>
          <w:kern w:val="0"/>
          <w:sz w:val="32"/>
          <w:szCs w:val="32"/>
          <w:highlight w:val="none"/>
        </w:rPr>
        <w:t>。</w:t>
      </w:r>
    </w:p>
    <w:p>
      <w:pPr>
        <w:widowControl/>
        <w:shd w:val="clear" w:color="auto" w:fill="FFFFFF"/>
        <w:spacing w:line="420" w:lineRule="atLeast"/>
        <w:ind w:firstLine="640" w:firstLineChars="200"/>
        <w:rPr>
          <w:rFonts w:ascii="仿宋" w:hAnsi="仿宋" w:eastAsia="仿宋" w:cs="宋体"/>
          <w:color w:val="656565"/>
          <w:kern w:val="0"/>
          <w:sz w:val="32"/>
          <w:szCs w:val="32"/>
        </w:rPr>
      </w:pPr>
      <w:r>
        <w:rPr>
          <w:rFonts w:hint="eastAsia" w:ascii="仿宋" w:hAnsi="仿宋" w:eastAsia="仿宋" w:cs="宋体"/>
          <w:color w:val="000000"/>
          <w:kern w:val="0"/>
          <w:sz w:val="32"/>
          <w:szCs w:val="32"/>
        </w:rPr>
        <w:t>同一套房屋所有提取人的提取总额不超过该房实际已支付的还贷额。</w:t>
      </w:r>
    </w:p>
    <w:p>
      <w:pPr>
        <w:widowControl/>
        <w:shd w:val="clear" w:color="auto" w:fill="FFFFFF"/>
        <w:spacing w:line="360"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8160" w:type="dxa"/>
        <w:jc w:val="center"/>
        <w:tblCellSpacing w:w="0" w:type="dxa"/>
        <w:tblLayout w:type="autofit"/>
        <w:tblCellMar>
          <w:top w:w="0" w:type="dxa"/>
          <w:left w:w="0" w:type="dxa"/>
          <w:bottom w:w="0" w:type="dxa"/>
          <w:right w:w="0" w:type="dxa"/>
        </w:tblCellMar>
      </w:tblPr>
      <w:tblGrid>
        <w:gridCol w:w="2337"/>
        <w:gridCol w:w="5823"/>
      </w:tblGrid>
      <w:tr>
        <w:tblPrEx>
          <w:tblCellMar>
            <w:top w:w="0" w:type="dxa"/>
            <w:left w:w="0" w:type="dxa"/>
            <w:bottom w:w="0" w:type="dxa"/>
            <w:right w:w="0" w:type="dxa"/>
          </w:tblCellMar>
        </w:tblPrEx>
        <w:trPr>
          <w:trHeight w:val="315" w:hRule="atLeast"/>
          <w:tblCellSpacing w:w="0" w:type="dxa"/>
          <w:jc w:val="center"/>
        </w:trPr>
        <w:tc>
          <w:tcPr>
            <w:tcW w:w="23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157" w:firstLineChars="49"/>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贷款类型</w:t>
            </w:r>
          </w:p>
        </w:tc>
        <w:tc>
          <w:tcPr>
            <w:tcW w:w="5823"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2991" w:firstLineChars="931"/>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rHeight w:val="367" w:hRule="atLeast"/>
          <w:tblCellSpacing w:w="0" w:type="dxa"/>
          <w:jc w:val="center"/>
        </w:trPr>
        <w:tc>
          <w:tcPr>
            <w:tcW w:w="233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区内住房公积金贷款</w:t>
            </w:r>
          </w:p>
        </w:tc>
        <w:tc>
          <w:tcPr>
            <w:tcW w:w="582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tc>
      </w:tr>
      <w:tr>
        <w:tblPrEx>
          <w:tblCellMar>
            <w:top w:w="0" w:type="dxa"/>
            <w:left w:w="0" w:type="dxa"/>
            <w:bottom w:w="0" w:type="dxa"/>
            <w:right w:w="0" w:type="dxa"/>
          </w:tblCellMar>
        </w:tblPrEx>
        <w:trPr>
          <w:trHeight w:val="786" w:hRule="atLeast"/>
          <w:tblCellSpacing w:w="0" w:type="dxa"/>
          <w:jc w:val="center"/>
        </w:trPr>
        <w:tc>
          <w:tcPr>
            <w:tcW w:w="233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商业贷款、公积金组合贷款、区外公积金贷款</w:t>
            </w:r>
          </w:p>
        </w:tc>
        <w:tc>
          <w:tcPr>
            <w:tcW w:w="582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320" w:firstLineChars="100"/>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rPr>
                <w:rFonts w:ascii="仿宋" w:hAnsi="仿宋" w:eastAsia="仿宋" w:cs="宋体"/>
                <w:color w:val="000000"/>
                <w:kern w:val="0"/>
                <w:sz w:val="32"/>
                <w:szCs w:val="32"/>
              </w:rPr>
            </w:pPr>
            <w:r>
              <w:rPr>
                <w:rFonts w:hint="eastAsia" w:ascii="仿宋" w:hAnsi="仿宋" w:eastAsia="仿宋" w:cs="宋体"/>
                <w:color w:val="000000"/>
                <w:kern w:val="0"/>
                <w:sz w:val="32"/>
                <w:szCs w:val="32"/>
              </w:rPr>
              <w:t>2.银行借款合同（原件）；</w:t>
            </w:r>
          </w:p>
          <w:p>
            <w:pPr>
              <w:widowControl/>
              <w:shd w:val="clear" w:color="auto" w:fill="FFFFFF"/>
              <w:spacing w:line="255" w:lineRule="atLeast"/>
              <w:ind w:firstLine="210"/>
              <w:rPr>
                <w:rFonts w:ascii="仿宋" w:hAnsi="仿宋" w:eastAsia="仿宋" w:cs="宋体"/>
                <w:color w:val="000000"/>
                <w:kern w:val="0"/>
                <w:sz w:val="32"/>
                <w:szCs w:val="32"/>
              </w:rPr>
            </w:pPr>
            <w:r>
              <w:rPr>
                <w:rFonts w:hint="eastAsia" w:ascii="仿宋" w:hAnsi="仿宋" w:eastAsia="仿宋" w:cs="宋体"/>
                <w:color w:val="000000"/>
                <w:kern w:val="0"/>
                <w:sz w:val="32"/>
                <w:szCs w:val="32"/>
              </w:rPr>
              <w:t>3、金融机构出具的还款对账单（还款流水）</w:t>
            </w:r>
            <w:r>
              <w:rPr>
                <w:rFonts w:hint="eastAsia" w:ascii="仿宋" w:hAnsi="仿宋" w:eastAsia="仿宋" w:cs="宋体"/>
                <w:color w:val="000000"/>
                <w:kern w:val="0"/>
                <w:sz w:val="32"/>
                <w:szCs w:val="32"/>
                <w:lang w:eastAsia="zh-CN"/>
              </w:rPr>
              <w:t>原件</w:t>
            </w:r>
            <w:r>
              <w:rPr>
                <w:rFonts w:hint="eastAsia" w:ascii="仿宋" w:hAnsi="仿宋" w:eastAsia="仿宋" w:cs="宋体"/>
                <w:color w:val="000000"/>
                <w:kern w:val="0"/>
                <w:sz w:val="32"/>
                <w:szCs w:val="32"/>
              </w:rPr>
              <w:t>。</w:t>
            </w:r>
          </w:p>
        </w:tc>
      </w:tr>
      <w:tr>
        <w:tblPrEx>
          <w:tblCellMar>
            <w:top w:w="0" w:type="dxa"/>
            <w:left w:w="0" w:type="dxa"/>
            <w:bottom w:w="0" w:type="dxa"/>
            <w:right w:w="0" w:type="dxa"/>
          </w:tblCellMar>
        </w:tblPrEx>
        <w:trPr>
          <w:trHeight w:val="555" w:hRule="atLeast"/>
          <w:tblCellSpacing w:w="0" w:type="dxa"/>
          <w:jc w:val="center"/>
        </w:trPr>
        <w:tc>
          <w:tcPr>
            <w:tcW w:w="233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直系亲属提取</w:t>
            </w:r>
          </w:p>
        </w:tc>
        <w:tc>
          <w:tcPr>
            <w:tcW w:w="582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 根据本表对应的贷款类型提供相应的所需材料；</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3.户口簿、出生证、结婚证等直系亲属关系证明材料（原件）；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4.缴存人不在我管理中心缴存的，应提供其缴存的公积金中心出具的该笔住房消费已提取住房公积金的凭证或回执（原件）。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315" w:tblpY="477"/>
        <w:tblOverlap w:val="never"/>
        <w:tblW w:w="10093" w:type="dxa"/>
        <w:tblInd w:w="0" w:type="dxa"/>
        <w:tblLayout w:type="fixed"/>
        <w:tblCellMar>
          <w:top w:w="0" w:type="dxa"/>
          <w:left w:w="108" w:type="dxa"/>
          <w:bottom w:w="0" w:type="dxa"/>
          <w:right w:w="108" w:type="dxa"/>
        </w:tblCellMar>
      </w:tblPr>
      <w:tblGrid>
        <w:gridCol w:w="1905"/>
        <w:gridCol w:w="1380"/>
        <w:gridCol w:w="2685"/>
        <w:gridCol w:w="4123"/>
      </w:tblGrid>
      <w:tr>
        <w:tblPrEx>
          <w:tblCellMar>
            <w:top w:w="0" w:type="dxa"/>
            <w:left w:w="108" w:type="dxa"/>
            <w:bottom w:w="0" w:type="dxa"/>
            <w:right w:w="108" w:type="dxa"/>
          </w:tblCellMar>
        </w:tblPrEx>
        <w:trPr>
          <w:trHeight w:val="651"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2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1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772" w:hRule="atLeast"/>
        </w:trPr>
        <w:tc>
          <w:tcPr>
            <w:tcW w:w="1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河东营业部</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2802577</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柳州市高新一路北一巷7号7楼2、3、4、5、6号窗</w:t>
            </w:r>
          </w:p>
        </w:tc>
      </w:tr>
      <w:tr>
        <w:tblPrEx>
          <w:tblCellMar>
            <w:top w:w="0" w:type="dxa"/>
            <w:left w:w="108" w:type="dxa"/>
            <w:bottom w:w="0" w:type="dxa"/>
            <w:right w:w="108" w:type="dxa"/>
          </w:tblCellMar>
        </w:tblPrEx>
        <w:trPr>
          <w:trHeight w:val="740" w:hRule="atLeast"/>
        </w:trPr>
        <w:tc>
          <w:tcPr>
            <w:tcW w:w="1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中山东路营业部</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2125890</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柳州市中山东路11号2楼1、2、3号窗</w:t>
            </w:r>
          </w:p>
        </w:tc>
      </w:tr>
      <w:tr>
        <w:tblPrEx>
          <w:tblCellMar>
            <w:top w:w="0" w:type="dxa"/>
            <w:left w:w="108" w:type="dxa"/>
            <w:bottom w:w="0" w:type="dxa"/>
            <w:right w:w="108" w:type="dxa"/>
          </w:tblCellMar>
        </w:tblPrEx>
        <w:trPr>
          <w:trHeight w:val="1264" w:hRule="atLeast"/>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柳东营业部</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2558083</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13:00-16:30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770" w:hRule="atLeast"/>
        </w:trPr>
        <w:tc>
          <w:tcPr>
            <w:tcW w:w="1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柳江营业部</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7215553</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柳江区拉堡镇柳东路69号1、2、3号窗</w:t>
            </w:r>
          </w:p>
        </w:tc>
      </w:tr>
      <w:tr>
        <w:tblPrEx>
          <w:tblCellMar>
            <w:top w:w="0" w:type="dxa"/>
            <w:left w:w="108" w:type="dxa"/>
            <w:bottom w:w="0" w:type="dxa"/>
            <w:right w:w="108" w:type="dxa"/>
          </w:tblCellMar>
        </w:tblPrEx>
        <w:trPr>
          <w:trHeight w:val="770" w:hRule="atLeast"/>
        </w:trPr>
        <w:tc>
          <w:tcPr>
            <w:tcW w:w="1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柳城管理部</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7611966</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柳城县大埔镇胜利东路4号2、3号窗</w:t>
            </w:r>
          </w:p>
        </w:tc>
      </w:tr>
      <w:tr>
        <w:tblPrEx>
          <w:tblCellMar>
            <w:top w:w="0" w:type="dxa"/>
            <w:left w:w="108" w:type="dxa"/>
            <w:bottom w:w="0" w:type="dxa"/>
            <w:right w:w="108" w:type="dxa"/>
          </w:tblCellMar>
        </w:tblPrEx>
        <w:trPr>
          <w:trHeight w:val="755" w:hRule="atLeast"/>
        </w:trPr>
        <w:tc>
          <w:tcPr>
            <w:tcW w:w="1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鹿寨管理部</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6813609</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鹿寨县鹿寨镇创业路15号1、2号窗</w:t>
            </w:r>
          </w:p>
        </w:tc>
      </w:tr>
      <w:tr>
        <w:tblPrEx>
          <w:tblCellMar>
            <w:top w:w="0" w:type="dxa"/>
            <w:left w:w="108" w:type="dxa"/>
            <w:bottom w:w="0" w:type="dxa"/>
            <w:right w:w="108" w:type="dxa"/>
          </w:tblCellMar>
        </w:tblPrEx>
        <w:trPr>
          <w:trHeight w:val="800" w:hRule="atLeast"/>
        </w:trPr>
        <w:tc>
          <w:tcPr>
            <w:tcW w:w="1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融水管理部</w:t>
            </w:r>
          </w:p>
        </w:tc>
        <w:tc>
          <w:tcPr>
            <w:tcW w:w="13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5135305</w:t>
            </w:r>
            <w:r>
              <w:rPr>
                <w:rFonts w:hint="eastAsia" w:ascii="仿宋" w:hAnsi="仿宋" w:eastAsia="仿宋" w:cs="宋体"/>
                <w:color w:val="000000"/>
                <w:kern w:val="0"/>
                <w:sz w:val="24"/>
                <w:szCs w:val="24"/>
                <w:lang w:bidi="ar"/>
              </w:rPr>
              <w:br w:type="textWrapping"/>
            </w:r>
            <w:r>
              <w:rPr>
                <w:rFonts w:hint="eastAsia" w:ascii="仿宋" w:hAnsi="仿宋" w:eastAsia="仿宋" w:cs="宋体"/>
                <w:color w:val="000000"/>
                <w:kern w:val="0"/>
                <w:sz w:val="24"/>
                <w:szCs w:val="24"/>
                <w:lang w:bidi="ar"/>
              </w:rPr>
              <w:t>5123607</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融水县镇寿星南路融水商贸城F16栋1、2号柜台</w:t>
            </w:r>
          </w:p>
        </w:tc>
      </w:tr>
      <w:tr>
        <w:tblPrEx>
          <w:tblCellMar>
            <w:top w:w="0" w:type="dxa"/>
            <w:left w:w="108" w:type="dxa"/>
            <w:bottom w:w="0" w:type="dxa"/>
            <w:right w:w="108" w:type="dxa"/>
          </w:tblCellMar>
        </w:tblPrEx>
        <w:trPr>
          <w:trHeight w:val="740" w:hRule="atLeast"/>
        </w:trPr>
        <w:tc>
          <w:tcPr>
            <w:tcW w:w="1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融安管理部</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8122255</w:t>
            </w:r>
          </w:p>
        </w:tc>
        <w:tc>
          <w:tcPr>
            <w:tcW w:w="26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融安县工商银行大厦二楼1号办公室</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三江管理部</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8612795</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三江县古宜镇雅谷路116号1、2、3、4号窗</w:t>
            </w:r>
          </w:p>
        </w:tc>
      </w:tr>
      <w:tr>
        <w:tblPrEx>
          <w:tblCellMar>
            <w:top w:w="0" w:type="dxa"/>
            <w:left w:w="108" w:type="dxa"/>
            <w:bottom w:w="0" w:type="dxa"/>
            <w:right w:w="108" w:type="dxa"/>
          </w:tblCellMar>
        </w:tblPrEx>
        <w:trPr>
          <w:trHeight w:val="6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农业银行</w:t>
            </w:r>
            <w:r>
              <w:rPr>
                <w:rFonts w:hint="eastAsia" w:ascii="仿宋" w:hAnsi="仿宋" w:eastAsia="仿宋" w:cs="宋体"/>
                <w:color w:val="000000"/>
                <w:kern w:val="0"/>
                <w:sz w:val="24"/>
                <w:szCs w:val="24"/>
                <w:lang w:eastAsia="zh-CN" w:bidi="ar"/>
              </w:rPr>
              <w:t>科技</w:t>
            </w:r>
            <w:r>
              <w:rPr>
                <w:rFonts w:hint="eastAsia" w:ascii="仿宋" w:hAnsi="仿宋" w:eastAsia="仿宋" w:cs="宋体"/>
                <w:color w:val="000000"/>
                <w:kern w:val="0"/>
                <w:sz w:val="24"/>
                <w:szCs w:val="24"/>
                <w:lang w:bidi="ar"/>
              </w:rPr>
              <w:t>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bidi="ar"/>
              </w:rPr>
              <w:t>2610486</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bidi="ar"/>
              </w:rPr>
              <w:t>柳州市东环大道</w:t>
            </w:r>
            <w:r>
              <w:rPr>
                <w:rFonts w:hint="eastAsia" w:ascii="仿宋" w:hAnsi="仿宋" w:eastAsia="仿宋" w:cs="宋体"/>
                <w:color w:val="000000"/>
                <w:kern w:val="0"/>
                <w:sz w:val="24"/>
                <w:szCs w:val="24"/>
                <w:lang w:val="en-US" w:eastAsia="zh-CN" w:bidi="ar"/>
              </w:rPr>
              <w:t>216号之二东方国际大厦1-2号</w:t>
            </w:r>
          </w:p>
        </w:tc>
      </w:tr>
      <w:tr>
        <w:tblPrEx>
          <w:tblCellMar>
            <w:top w:w="0" w:type="dxa"/>
            <w:left w:w="108" w:type="dxa"/>
            <w:bottom w:w="0" w:type="dxa"/>
            <w:right w:w="108" w:type="dxa"/>
          </w:tblCellMar>
        </w:tblPrEx>
        <w:trPr>
          <w:trHeight w:val="67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bidi="ar"/>
              </w:rPr>
              <w:t>工商银行</w:t>
            </w:r>
            <w:r>
              <w:rPr>
                <w:rFonts w:hint="eastAsia" w:ascii="仿宋" w:hAnsi="仿宋" w:eastAsia="仿宋" w:cs="宋体"/>
                <w:color w:val="000000"/>
                <w:kern w:val="0"/>
                <w:sz w:val="24"/>
                <w:szCs w:val="24"/>
                <w:lang w:eastAsia="zh-CN" w:bidi="ar"/>
              </w:rPr>
              <w:t>鱼峰支行营业厅</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bidi="ar"/>
              </w:rPr>
              <w:t>3835022</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bidi="ar"/>
              </w:rPr>
              <w:t>柳州市</w:t>
            </w:r>
            <w:r>
              <w:rPr>
                <w:rFonts w:hint="eastAsia" w:ascii="仿宋" w:hAnsi="仿宋" w:eastAsia="仿宋" w:cs="宋体"/>
                <w:color w:val="000000"/>
                <w:kern w:val="0"/>
                <w:sz w:val="24"/>
                <w:szCs w:val="24"/>
                <w:lang w:eastAsia="zh-CN" w:bidi="ar"/>
              </w:rPr>
              <w:t>鱼峰区鱼峰路</w:t>
            </w:r>
            <w:r>
              <w:rPr>
                <w:rFonts w:hint="eastAsia" w:ascii="仿宋" w:hAnsi="仿宋" w:eastAsia="仿宋" w:cs="宋体"/>
                <w:color w:val="000000"/>
                <w:kern w:val="0"/>
                <w:sz w:val="24"/>
                <w:szCs w:val="24"/>
                <w:lang w:val="en-US" w:eastAsia="zh-CN" w:bidi="ar"/>
              </w:rPr>
              <w:t>68号之17-19</w:t>
            </w:r>
          </w:p>
        </w:tc>
      </w:tr>
      <w:tr>
        <w:tblPrEx>
          <w:tblCellMar>
            <w:top w:w="0" w:type="dxa"/>
            <w:left w:w="108" w:type="dxa"/>
            <w:bottom w:w="0" w:type="dxa"/>
            <w:right w:w="108" w:type="dxa"/>
          </w:tblCellMar>
        </w:tblPrEx>
        <w:trPr>
          <w:trHeight w:val="70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工商银行箭盘山支行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3124250</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柳州市鱼峰区箭盘山路5号</w:t>
            </w:r>
          </w:p>
        </w:tc>
      </w:tr>
      <w:tr>
        <w:tblPrEx>
          <w:tblCellMar>
            <w:top w:w="0" w:type="dxa"/>
            <w:left w:w="108" w:type="dxa"/>
            <w:bottom w:w="0" w:type="dxa"/>
            <w:right w:w="108" w:type="dxa"/>
          </w:tblCellMar>
        </w:tblPrEx>
        <w:trPr>
          <w:trHeight w:val="86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柳州市区农村信用合作联社营业部</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2695308</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柳州市屏山大道341号</w:t>
            </w:r>
          </w:p>
        </w:tc>
      </w:tr>
      <w:tr>
        <w:tblPrEx>
          <w:tblCellMar>
            <w:top w:w="0" w:type="dxa"/>
            <w:left w:w="108" w:type="dxa"/>
            <w:bottom w:w="0" w:type="dxa"/>
            <w:right w:w="108" w:type="dxa"/>
          </w:tblCellMar>
        </w:tblPrEx>
        <w:trPr>
          <w:trHeight w:val="7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农业银行柳南支行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3605038</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柳州市飞鹅二路1号谷埠街国际商城A区13、14、15、16号</w:t>
            </w:r>
          </w:p>
        </w:tc>
      </w:tr>
      <w:tr>
        <w:tblPrEx>
          <w:tblCellMar>
            <w:top w:w="0" w:type="dxa"/>
            <w:left w:w="108" w:type="dxa"/>
            <w:bottom w:w="0" w:type="dxa"/>
            <w:right w:w="108" w:type="dxa"/>
          </w:tblCellMar>
        </w:tblPrEx>
        <w:trPr>
          <w:trHeight w:val="70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工商银行龙屯支行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3720460</w:t>
            </w:r>
          </w:p>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3719204</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柳州市河西路18号五菱新事业培训中心1楼</w:t>
            </w:r>
          </w:p>
        </w:tc>
      </w:tr>
      <w:tr>
        <w:tblPrEx>
          <w:tblCellMar>
            <w:top w:w="0" w:type="dxa"/>
            <w:left w:w="108" w:type="dxa"/>
            <w:bottom w:w="0" w:type="dxa"/>
            <w:right w:w="108" w:type="dxa"/>
          </w:tblCellMar>
        </w:tblPrEx>
        <w:trPr>
          <w:trHeight w:val="1264"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柳州市区农村信用合作联社西鹅信用社</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3226178</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柳州市柳邕路一区二号</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农业银行宏城绿都支行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3917781</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柳州市航二路17号宏城绿都1栋1-8号</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建设银行柳北支行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2312443</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柳州市雀儿山路2号</w:t>
            </w:r>
          </w:p>
        </w:tc>
      </w:tr>
      <w:tr>
        <w:tblPrEx>
          <w:tblCellMar>
            <w:top w:w="0" w:type="dxa"/>
            <w:left w:w="108" w:type="dxa"/>
            <w:bottom w:w="0" w:type="dxa"/>
            <w:right w:w="108" w:type="dxa"/>
          </w:tblCellMar>
        </w:tblPrEx>
        <w:trPr>
          <w:trHeight w:val="70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工商银行三中路支行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2824346</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柳州市三中路66号</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农业银行柳北支行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2072818</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柳州市柳北区八一路51号</w:t>
            </w:r>
          </w:p>
        </w:tc>
      </w:tr>
      <w:tr>
        <w:tblPrEx>
          <w:tblCellMar>
            <w:top w:w="0" w:type="dxa"/>
            <w:left w:w="108" w:type="dxa"/>
            <w:bottom w:w="0" w:type="dxa"/>
            <w:right w:w="108" w:type="dxa"/>
          </w:tblCellMar>
        </w:tblPrEx>
        <w:trPr>
          <w:trHeight w:val="70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工商银行雀儿山支行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2314262</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柳州市雀儿山路1号</w:t>
            </w:r>
          </w:p>
        </w:tc>
      </w:tr>
      <w:tr>
        <w:tblPrEx>
          <w:tblCellMar>
            <w:top w:w="0" w:type="dxa"/>
            <w:left w:w="108" w:type="dxa"/>
            <w:bottom w:w="0" w:type="dxa"/>
            <w:right w:w="108" w:type="dxa"/>
          </w:tblCellMar>
        </w:tblPrEx>
        <w:trPr>
          <w:trHeight w:val="74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工商银行高新支行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2612367</w:t>
            </w:r>
          </w:p>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2612064</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柳州市潭中东路8号</w:t>
            </w:r>
          </w:p>
        </w:tc>
      </w:tr>
      <w:tr>
        <w:tblPrEx>
          <w:tblCellMar>
            <w:top w:w="0" w:type="dxa"/>
            <w:left w:w="108" w:type="dxa"/>
            <w:bottom w:w="0" w:type="dxa"/>
            <w:right w:w="108" w:type="dxa"/>
          </w:tblCellMar>
        </w:tblPrEx>
        <w:trPr>
          <w:trHeight w:val="74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中国银行高新区科技支行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2610949</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柳州市潭中东路</w:t>
            </w:r>
            <w:r>
              <w:rPr>
                <w:rFonts w:hint="eastAsia" w:ascii="仿宋" w:hAnsi="仿宋" w:eastAsia="仿宋" w:cs="宋体"/>
                <w:color w:val="000000"/>
                <w:kern w:val="0"/>
                <w:sz w:val="24"/>
                <w:szCs w:val="24"/>
                <w:lang w:val="en-US" w:eastAsia="zh-CN" w:bidi="ar"/>
              </w:rPr>
              <w:t>15</w:t>
            </w:r>
            <w:r>
              <w:rPr>
                <w:rFonts w:hint="eastAsia" w:ascii="仿宋" w:hAnsi="仿宋" w:eastAsia="仿宋" w:cs="宋体"/>
                <w:color w:val="000000"/>
                <w:kern w:val="0"/>
                <w:sz w:val="24"/>
                <w:szCs w:val="24"/>
                <w:lang w:bidi="ar"/>
              </w:rPr>
              <w:t>号</w:t>
            </w:r>
          </w:p>
        </w:tc>
      </w:tr>
      <w:tr>
        <w:tblPrEx>
          <w:tblCellMar>
            <w:top w:w="0" w:type="dxa"/>
            <w:left w:w="108" w:type="dxa"/>
            <w:bottom w:w="0" w:type="dxa"/>
            <w:right w:w="108" w:type="dxa"/>
          </w:tblCellMar>
        </w:tblPrEx>
        <w:trPr>
          <w:trHeight w:val="7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农业银行立新支行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3918103</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柳州市城中区立新路33号</w:t>
            </w:r>
          </w:p>
        </w:tc>
      </w:tr>
      <w:tr>
        <w:tblPrEx>
          <w:tblCellMar>
            <w:top w:w="0" w:type="dxa"/>
            <w:left w:w="108" w:type="dxa"/>
            <w:bottom w:w="0" w:type="dxa"/>
            <w:right w:w="108" w:type="dxa"/>
          </w:tblCellMar>
        </w:tblPrEx>
        <w:trPr>
          <w:trHeight w:val="70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农业银行城中支行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2721115</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柳州市桂中大道南端18号西雅华庭1-1</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民生银行柳州分行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2661246</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柳州市桂中大道南端5号兆安现代城55栋一楼</w:t>
            </w:r>
          </w:p>
        </w:tc>
      </w:tr>
      <w:tr>
        <w:tblPrEx>
          <w:tblCellMar>
            <w:top w:w="0" w:type="dxa"/>
            <w:left w:w="108" w:type="dxa"/>
            <w:bottom w:w="0" w:type="dxa"/>
            <w:right w:w="108" w:type="dxa"/>
          </w:tblCellMar>
        </w:tblPrEx>
        <w:trPr>
          <w:trHeight w:val="68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柳州银行总行营业部</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2860782</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柳州市中山西路12号</w:t>
            </w:r>
          </w:p>
        </w:tc>
      </w:tr>
      <w:tr>
        <w:tblPrEx>
          <w:tblCellMar>
            <w:top w:w="0" w:type="dxa"/>
            <w:left w:w="108" w:type="dxa"/>
            <w:bottom w:w="0" w:type="dxa"/>
            <w:right w:w="108" w:type="dxa"/>
          </w:tblCellMar>
        </w:tblPrEx>
        <w:trPr>
          <w:trHeight w:val="70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北部湾银行城中支行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2661198</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柳州市高新二路16号博艺大厦一楼</w:t>
            </w:r>
          </w:p>
        </w:tc>
      </w:tr>
      <w:tr>
        <w:tblPrEx>
          <w:tblCellMar>
            <w:top w:w="0" w:type="dxa"/>
            <w:left w:w="108" w:type="dxa"/>
            <w:bottom w:w="0" w:type="dxa"/>
            <w:right w:w="108" w:type="dxa"/>
          </w:tblCellMar>
        </w:tblPrEx>
        <w:trPr>
          <w:trHeight w:val="71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桂林银行柳州分行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2058600</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柳州市桂中大道4号王座一楼</w:t>
            </w:r>
          </w:p>
        </w:tc>
      </w:tr>
      <w:tr>
        <w:tblPrEx>
          <w:tblCellMar>
            <w:top w:w="0" w:type="dxa"/>
            <w:left w:w="108" w:type="dxa"/>
            <w:bottom w:w="0" w:type="dxa"/>
            <w:right w:w="108" w:type="dxa"/>
          </w:tblCellMar>
        </w:tblPrEx>
        <w:trPr>
          <w:trHeight w:val="71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szCs w:val="24"/>
                <w:lang w:bidi="ar"/>
              </w:rPr>
              <w:t>交通银行</w:t>
            </w:r>
            <w:r>
              <w:rPr>
                <w:rFonts w:hint="eastAsia" w:ascii="仿宋" w:hAnsi="仿宋" w:eastAsia="仿宋" w:cs="宋体"/>
                <w:color w:val="000000"/>
                <w:kern w:val="0"/>
                <w:sz w:val="24"/>
                <w:szCs w:val="24"/>
                <w:lang w:eastAsia="zh-CN" w:bidi="ar"/>
              </w:rPr>
              <w:t>个贷中心</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szCs w:val="24"/>
                <w:lang w:val="en-US" w:eastAsia="zh-CN" w:bidi="ar"/>
              </w:rPr>
              <w:t>2819741</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szCs w:val="24"/>
                <w:lang w:bidi="ar"/>
              </w:rPr>
              <w:t>柳州市</w:t>
            </w:r>
            <w:r>
              <w:rPr>
                <w:rFonts w:hint="eastAsia" w:ascii="仿宋" w:hAnsi="仿宋" w:eastAsia="仿宋" w:cs="宋体"/>
                <w:color w:val="000000"/>
                <w:kern w:val="0"/>
                <w:sz w:val="24"/>
                <w:szCs w:val="24"/>
                <w:lang w:eastAsia="zh-CN" w:bidi="ar"/>
              </w:rPr>
              <w:t>沿江路</w:t>
            </w:r>
            <w:r>
              <w:rPr>
                <w:rFonts w:hint="eastAsia" w:ascii="仿宋" w:hAnsi="仿宋" w:eastAsia="仿宋" w:cs="宋体"/>
                <w:color w:val="000000"/>
                <w:kern w:val="0"/>
                <w:sz w:val="24"/>
                <w:szCs w:val="24"/>
                <w:lang w:val="en-US" w:eastAsia="zh-CN" w:bidi="ar"/>
              </w:rPr>
              <w:t>2号</w:t>
            </w:r>
          </w:p>
        </w:tc>
      </w:tr>
      <w:tr>
        <w:tblPrEx>
          <w:tblCellMar>
            <w:top w:w="0" w:type="dxa"/>
            <w:left w:w="108" w:type="dxa"/>
            <w:bottom w:w="0" w:type="dxa"/>
            <w:right w:w="108" w:type="dxa"/>
          </w:tblCellMar>
        </w:tblPrEx>
        <w:trPr>
          <w:trHeight w:val="70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兴业银行柳州分行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2692623</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柳州市瑞康路18号金麟中心一楼</w:t>
            </w:r>
          </w:p>
        </w:tc>
      </w:tr>
      <w:tr>
        <w:tblPrEx>
          <w:tblCellMar>
            <w:top w:w="0" w:type="dxa"/>
            <w:left w:w="108" w:type="dxa"/>
            <w:bottom w:w="0" w:type="dxa"/>
            <w:right w:w="108" w:type="dxa"/>
          </w:tblCellMar>
        </w:tblPrEx>
        <w:trPr>
          <w:trHeight w:val="65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建设银行沿江路支行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2159569</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柳州市城中区沿江路28号荣和天誉20栋1-1号</w:t>
            </w:r>
          </w:p>
        </w:tc>
      </w:tr>
      <w:tr>
        <w:tblPrEx>
          <w:tblCellMar>
            <w:top w:w="0" w:type="dxa"/>
            <w:left w:w="108" w:type="dxa"/>
            <w:bottom w:w="0" w:type="dxa"/>
            <w:right w:w="108" w:type="dxa"/>
          </w:tblCellMar>
        </w:tblPrEx>
        <w:trPr>
          <w:trHeight w:val="65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中国银行柳东支行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2106535</w:t>
            </w:r>
          </w:p>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2201315</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柳州市鱼峰区新福路10号学院友邻汇101-1号</w:t>
            </w:r>
          </w:p>
        </w:tc>
      </w:tr>
      <w:tr>
        <w:tblPrEx>
          <w:tblCellMar>
            <w:top w:w="0" w:type="dxa"/>
            <w:left w:w="108" w:type="dxa"/>
            <w:bottom w:w="0" w:type="dxa"/>
            <w:right w:w="108" w:type="dxa"/>
          </w:tblCellMar>
        </w:tblPrEx>
        <w:trPr>
          <w:trHeight w:val="71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工商银行柳江支行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7212405</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柳江区拉堡镇柳北路25号</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工商银行柳城支行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7613437</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柳城县大埔镇白阳中路71号</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建设银行鹿寨支行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6813068</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鹿寨县鹿寨镇建中西路16号</w:t>
            </w:r>
          </w:p>
        </w:tc>
      </w:tr>
      <w:tr>
        <w:tblPrEx>
          <w:tblCellMar>
            <w:top w:w="0" w:type="dxa"/>
            <w:left w:w="108" w:type="dxa"/>
            <w:bottom w:w="0" w:type="dxa"/>
            <w:right w:w="108" w:type="dxa"/>
          </w:tblCellMar>
        </w:tblPrEx>
        <w:trPr>
          <w:trHeight w:val="67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工商银行鹿寨县支行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6812265</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鹿寨镇建中西路19号</w:t>
            </w:r>
          </w:p>
        </w:tc>
      </w:tr>
      <w:tr>
        <w:tblPrEx>
          <w:tblCellMar>
            <w:top w:w="0" w:type="dxa"/>
            <w:left w:w="108" w:type="dxa"/>
            <w:bottom w:w="0" w:type="dxa"/>
            <w:right w:w="108" w:type="dxa"/>
          </w:tblCellMar>
        </w:tblPrEx>
        <w:trPr>
          <w:trHeight w:val="73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工商银行融安县支行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8113082</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融安县桔香南路101号</w:t>
            </w:r>
          </w:p>
        </w:tc>
      </w:tr>
      <w:tr>
        <w:tblPrEx>
          <w:tblCellMar>
            <w:top w:w="0" w:type="dxa"/>
            <w:left w:w="108" w:type="dxa"/>
            <w:bottom w:w="0" w:type="dxa"/>
            <w:right w:w="108" w:type="dxa"/>
          </w:tblCellMar>
        </w:tblPrEx>
        <w:trPr>
          <w:trHeight w:val="74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工商银行融水县支行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5120960</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融水县朝阳东路7号</w:t>
            </w:r>
          </w:p>
        </w:tc>
      </w:tr>
      <w:tr>
        <w:tblPrEx>
          <w:tblCellMar>
            <w:top w:w="0" w:type="dxa"/>
            <w:left w:w="108" w:type="dxa"/>
            <w:bottom w:w="0" w:type="dxa"/>
            <w:right w:w="108" w:type="dxa"/>
          </w:tblCellMar>
        </w:tblPrEx>
        <w:trPr>
          <w:trHeight w:val="70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工商银行三江县支行</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8622706</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三江县古宜镇侗乡大道建设大厦</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网上办理：申请人办理提取→中心审批（不超过3个工作日）→提取转账。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1、柳州市住房公积金管理中心网站（http://wt.zfgjj.liuzhou.gov.cn/lznt/login.do）</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2、柳州市住房公积金管理中心公众号</w:t>
      </w:r>
    </w:p>
    <w:p>
      <w:pPr>
        <w:widowControl/>
        <w:numPr>
          <w:ilvl w:val="0"/>
          <w:numId w:val="3"/>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龙城市民云APP</w:t>
      </w:r>
    </w:p>
    <w:p>
      <w:pPr>
        <w:widowControl/>
        <w:numPr>
          <w:ilvl w:val="0"/>
          <w:numId w:val="3"/>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支付宝APP</w:t>
      </w:r>
    </w:p>
    <w:p>
      <w:pPr>
        <w:widowControl/>
        <w:numPr>
          <w:ilvl w:val="0"/>
          <w:numId w:val="3"/>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招商银行APP</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268595" cy="3087370"/>
            <wp:effectExtent l="0" t="0" r="8255"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268595" cy="3087370"/>
                    </a:xfrm>
                    <a:prstGeom prst="rect">
                      <a:avLst/>
                    </a:prstGeom>
                  </pic:spPr>
                </pic:pic>
              </a:graphicData>
            </a:graphic>
          </wp:inline>
        </w:drawing>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405" w:lineRule="atLeast"/>
        <w:ind w:firstLine="48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1.配偶提取：以配偶的</w:t>
      </w:r>
      <w:r>
        <w:rPr>
          <w:rFonts w:hint="eastAsia" w:ascii="仿宋" w:hAnsi="仿宋" w:eastAsia="仿宋" w:cs="宋体"/>
          <w:color w:val="000000"/>
          <w:kern w:val="0"/>
          <w:sz w:val="32"/>
          <w:szCs w:val="32"/>
          <w:lang w:eastAsia="zh-CN"/>
        </w:rPr>
        <w:t>贷款</w:t>
      </w:r>
      <w:r>
        <w:rPr>
          <w:rFonts w:hint="eastAsia" w:ascii="仿宋" w:hAnsi="仿宋" w:eastAsia="仿宋" w:cs="宋体"/>
          <w:color w:val="000000"/>
          <w:kern w:val="0"/>
          <w:sz w:val="32"/>
          <w:szCs w:val="32"/>
        </w:rPr>
        <w:t>材料申请提取住房公积金的（1）广西区内登记结婚的，管理中心</w:t>
      </w:r>
      <w:r>
        <w:rPr>
          <w:rFonts w:hint="eastAsia" w:ascii="仿宋" w:hAnsi="仿宋" w:eastAsia="仿宋" w:cs="宋体"/>
          <w:color w:val="000000"/>
          <w:kern w:val="0"/>
          <w:sz w:val="32"/>
          <w:szCs w:val="32"/>
          <w:lang w:eastAsia="zh-CN"/>
        </w:rPr>
        <w:t>通过</w:t>
      </w:r>
      <w:r>
        <w:rPr>
          <w:rFonts w:hint="eastAsia" w:ascii="仿宋" w:hAnsi="仿宋" w:eastAsia="仿宋" w:cs="宋体"/>
          <w:color w:val="000000"/>
          <w:kern w:val="0"/>
          <w:sz w:val="32"/>
          <w:szCs w:val="32"/>
        </w:rPr>
        <w:t>自治区婚姻信息平台查询，如信息缺失或有异议的，需提供结婚证（原件）。（2）广西区外登记结婚的，需提供结婚证（原件）。</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2.异地房提取：①属户籍地购房的，提供户籍证明（原件）。②属工作地购房的，提供单位出具的工作证明（原件）。</w:t>
      </w:r>
    </w:p>
    <w:p>
      <w:pPr>
        <w:widowControl/>
        <w:shd w:val="clear" w:color="auto" w:fill="FFFFFF"/>
        <w:spacing w:line="405" w:lineRule="atLeast"/>
        <w:ind w:firstLine="480"/>
        <w:jc w:val="left"/>
        <w:rPr>
          <w:rFonts w:ascii="仿宋" w:hAnsi="仿宋" w:eastAsia="仿宋" w:cs="宋体"/>
          <w:color w:val="000000" w:themeColor="text1"/>
          <w:kern w:val="0"/>
          <w:sz w:val="32"/>
          <w:szCs w:val="32"/>
          <w14:textFill>
            <w14:solidFill>
              <w14:schemeClr w14:val="tx1"/>
            </w14:solidFill>
          </w14:textFill>
        </w:rPr>
      </w:pPr>
      <w:bookmarkStart w:id="0" w:name="_Hlk536699313"/>
      <w:bookmarkEnd w:id="0"/>
      <w:r>
        <w:rPr>
          <w:rFonts w:hint="eastAsia" w:ascii="仿宋" w:hAnsi="仿宋" w:eastAsia="仿宋" w:cs="宋体"/>
          <w:color w:val="000000" w:themeColor="text1"/>
          <w:kern w:val="0"/>
          <w:sz w:val="32"/>
          <w:szCs w:val="32"/>
          <w14:textFill>
            <w14:solidFill>
              <w14:schemeClr w14:val="tx1"/>
            </w14:solidFill>
          </w14:textFill>
        </w:rPr>
        <w:t>3.</w:t>
      </w:r>
      <w:r>
        <w:rPr>
          <w:rFonts w:hint="eastAsia" w:ascii="仿宋" w:hAnsi="仿宋" w:eastAsia="仿宋" w:cs="宋体"/>
          <w:b/>
          <w:bCs/>
          <w:color w:val="000000" w:themeColor="text1"/>
          <w:kern w:val="0"/>
          <w:sz w:val="32"/>
          <w:szCs w:val="32"/>
          <w14:textFill>
            <w14:solidFill>
              <w14:schemeClr w14:val="tx1"/>
            </w14:solidFill>
          </w14:textFill>
        </w:rPr>
        <w:t>离异职工：</w:t>
      </w:r>
      <w:r>
        <w:rPr>
          <w:rFonts w:hint="eastAsia" w:ascii="仿宋" w:hAnsi="仿宋" w:eastAsia="仿宋" w:cs="宋体"/>
          <w:color w:val="000000" w:themeColor="text1"/>
          <w:kern w:val="0"/>
          <w:sz w:val="32"/>
          <w:szCs w:val="32"/>
          <w14:textFill>
            <w14:solidFill>
              <w14:schemeClr w14:val="tx1"/>
            </w14:solidFill>
          </w14:textFill>
        </w:rPr>
        <w:t>夫妻离异后，如果非主贷人取得房产并承担还贷责任，但未办理贷款主贷人和房产户名变更时，在还贷正常的情况下，非主贷人可申请办理还贷提取。除提供对应的还贷材料外，还需提供明确房屋产权及贷款债务分割的相关材料，如离婚协议、法院判决书、公证书等。</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656565"/>
          <w:kern w:val="0"/>
          <w:sz w:val="32"/>
          <w:szCs w:val="32"/>
        </w:rPr>
        <w:t>4.</w:t>
      </w:r>
      <w:r>
        <w:rPr>
          <w:rFonts w:hint="eastAsia" w:ascii="仿宋" w:hAnsi="仿宋" w:eastAsia="仿宋" w:cs="宋体"/>
          <w:color w:val="000000"/>
          <w:kern w:val="0"/>
          <w:sz w:val="32"/>
          <w:szCs w:val="32"/>
        </w:rPr>
        <w:t>委托代办：除申请人身份证原件和上表所列材料外，还需提供申请人书面授权委托书（需申请人签名按手印）和代办人身份证原件。住房公积金提取代办委托书可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p>
    <w:p>
      <w:pPr>
        <w:widowControl/>
        <w:shd w:val="clear" w:color="auto" w:fill="FFFFFF"/>
        <w:spacing w:line="405" w:lineRule="atLeast"/>
        <w:ind w:firstLine="480"/>
        <w:jc w:val="left"/>
        <w:rPr>
          <w:rFonts w:ascii="仿宋" w:hAnsi="仿宋" w:eastAsia="仿宋" w:cs="宋体"/>
          <w:color w:val="000000"/>
          <w:kern w:val="0"/>
          <w:sz w:val="32"/>
          <w:szCs w:val="32"/>
        </w:rPr>
      </w:pPr>
      <w:bookmarkStart w:id="1" w:name="_GoBack"/>
      <w:bookmarkEnd w:id="1"/>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358775</wp:posOffset>
                </wp:positionV>
                <wp:extent cx="1603375" cy="266700"/>
                <wp:effectExtent l="0" t="0" r="15875" b="0"/>
                <wp:wrapNone/>
                <wp:docPr id="2" name="文本框 1"/>
                <wp:cNvGraphicFramePr/>
                <a:graphic xmlns:a="http://schemas.openxmlformats.org/drawingml/2006/main">
                  <a:graphicData uri="http://schemas.microsoft.com/office/word/2010/wordprocessingShape">
                    <wps:wsp>
                      <wps:cNvSpPr txBox="1"/>
                      <wps:spPr>
                        <a:xfrm>
                          <a:off x="0" y="0"/>
                          <a:ext cx="160337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5.35pt;margin-top:28.25pt;height:21pt;width:126.25pt;z-index:251660288;mso-width-relative:page;mso-height-relative:page;" fillcolor="#FFFFFF [3201]" filled="t" stroked="f" coordsize="21600,21600" o:gfxdata="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0wt8NcAAAAIAQAADwAAAAAAAAABACAAAAAiAAAAZHJzL2Rvd25yZXYu&#10;eG1sUEsBAhQAFAAAAAgAh07iQM7y8zP8AQAA5QMAAA4AAAAAAAAAAQAgAAAAJgEAAGRycy9lMm9E&#10;b2MueG1sUEsFBgAAAAAGAAYAWQEAAJQFAAAAAA==&#10;">
                <v:fill on="t" focussize="0,0"/>
                <v:stroke on="f"/>
                <v:imagedata o:title=""/>
                <o:lock v:ext="edit" aspectratio="f"/>
                <v:textbo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v:textbox>
              </v:shape>
            </w:pict>
          </mc:Fallback>
        </mc:AlternateContent>
      </w: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285" w:lineRule="atLeast"/>
        <w:ind w:firstLine="480"/>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23191"/>
    <w:multiLevelType w:val="singleLevel"/>
    <w:tmpl w:val="90F23191"/>
    <w:lvl w:ilvl="0" w:tentative="0">
      <w:start w:val="3"/>
      <w:numFmt w:val="decimal"/>
      <w:suff w:val="nothing"/>
      <w:lvlText w:val="%1、"/>
      <w:lvlJc w:val="left"/>
    </w:lvl>
  </w:abstractNum>
  <w:abstractNum w:abstractNumId="1">
    <w:nsid w:val="040C7BBC"/>
    <w:multiLevelType w:val="singleLevel"/>
    <w:tmpl w:val="040C7BBC"/>
    <w:lvl w:ilvl="0" w:tentative="0">
      <w:start w:val="5"/>
      <w:numFmt w:val="chineseCounting"/>
      <w:suff w:val="nothing"/>
      <w:lvlText w:val="%1、"/>
      <w:lvlJc w:val="left"/>
      <w:rPr>
        <w:rFonts w:hint="eastAsia"/>
      </w:rPr>
    </w:lvl>
  </w:abstractNum>
  <w:abstractNum w:abstractNumId="2">
    <w:nsid w:val="5560DA46"/>
    <w:multiLevelType w:val="singleLevel"/>
    <w:tmpl w:val="5560DA4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1168B4"/>
    <w:rsid w:val="00166302"/>
    <w:rsid w:val="001C3DFA"/>
    <w:rsid w:val="001D6E91"/>
    <w:rsid w:val="00247B32"/>
    <w:rsid w:val="00261C3F"/>
    <w:rsid w:val="003274AD"/>
    <w:rsid w:val="003522E5"/>
    <w:rsid w:val="003873B0"/>
    <w:rsid w:val="00415066"/>
    <w:rsid w:val="00446C1E"/>
    <w:rsid w:val="00460903"/>
    <w:rsid w:val="004D6C6D"/>
    <w:rsid w:val="00514CB9"/>
    <w:rsid w:val="00567C4B"/>
    <w:rsid w:val="005A7933"/>
    <w:rsid w:val="005B6F7B"/>
    <w:rsid w:val="005C5C0F"/>
    <w:rsid w:val="005F36A8"/>
    <w:rsid w:val="00611D9A"/>
    <w:rsid w:val="00616093"/>
    <w:rsid w:val="006238CC"/>
    <w:rsid w:val="006514B4"/>
    <w:rsid w:val="00660A75"/>
    <w:rsid w:val="00685B29"/>
    <w:rsid w:val="00736FD2"/>
    <w:rsid w:val="007402F6"/>
    <w:rsid w:val="007C3C57"/>
    <w:rsid w:val="007E5558"/>
    <w:rsid w:val="007F4EC9"/>
    <w:rsid w:val="00815EA8"/>
    <w:rsid w:val="008705E4"/>
    <w:rsid w:val="00891238"/>
    <w:rsid w:val="008B6A99"/>
    <w:rsid w:val="008F753D"/>
    <w:rsid w:val="0092192F"/>
    <w:rsid w:val="00956864"/>
    <w:rsid w:val="00957716"/>
    <w:rsid w:val="00970F8D"/>
    <w:rsid w:val="00975BE6"/>
    <w:rsid w:val="009A0614"/>
    <w:rsid w:val="009D0649"/>
    <w:rsid w:val="00A21442"/>
    <w:rsid w:val="00A47292"/>
    <w:rsid w:val="00A556E7"/>
    <w:rsid w:val="00A8150E"/>
    <w:rsid w:val="00AC0FA1"/>
    <w:rsid w:val="00AD5334"/>
    <w:rsid w:val="00AE4BA4"/>
    <w:rsid w:val="00AF4754"/>
    <w:rsid w:val="00AF4D10"/>
    <w:rsid w:val="00B418D2"/>
    <w:rsid w:val="00B557A1"/>
    <w:rsid w:val="00B701B9"/>
    <w:rsid w:val="00B72730"/>
    <w:rsid w:val="00BA5E6E"/>
    <w:rsid w:val="00BB704E"/>
    <w:rsid w:val="00BF0E13"/>
    <w:rsid w:val="00BF201A"/>
    <w:rsid w:val="00C24C31"/>
    <w:rsid w:val="00C35D72"/>
    <w:rsid w:val="00C54BD3"/>
    <w:rsid w:val="00CC2357"/>
    <w:rsid w:val="00CF5BF7"/>
    <w:rsid w:val="00D0017B"/>
    <w:rsid w:val="00D0286D"/>
    <w:rsid w:val="00D1361F"/>
    <w:rsid w:val="00D16B7C"/>
    <w:rsid w:val="00D217F3"/>
    <w:rsid w:val="00D253B3"/>
    <w:rsid w:val="00D456F0"/>
    <w:rsid w:val="00D82B57"/>
    <w:rsid w:val="00DE51DA"/>
    <w:rsid w:val="00E35673"/>
    <w:rsid w:val="00E506B5"/>
    <w:rsid w:val="00E578DD"/>
    <w:rsid w:val="00F70609"/>
    <w:rsid w:val="00F905B1"/>
    <w:rsid w:val="00FA32F0"/>
    <w:rsid w:val="00FE2402"/>
    <w:rsid w:val="00FE64E1"/>
    <w:rsid w:val="0DAE3513"/>
    <w:rsid w:val="0DCD2DC7"/>
    <w:rsid w:val="0E885118"/>
    <w:rsid w:val="12BE7896"/>
    <w:rsid w:val="19474A28"/>
    <w:rsid w:val="1B8738EA"/>
    <w:rsid w:val="22835CF3"/>
    <w:rsid w:val="25012773"/>
    <w:rsid w:val="258A1146"/>
    <w:rsid w:val="263E440B"/>
    <w:rsid w:val="2B4C4CE5"/>
    <w:rsid w:val="300D0066"/>
    <w:rsid w:val="34764241"/>
    <w:rsid w:val="39D17751"/>
    <w:rsid w:val="39D52FCE"/>
    <w:rsid w:val="403B17C3"/>
    <w:rsid w:val="40F43839"/>
    <w:rsid w:val="43664B49"/>
    <w:rsid w:val="46A00372"/>
    <w:rsid w:val="48270725"/>
    <w:rsid w:val="4A9A600A"/>
    <w:rsid w:val="4B5300A9"/>
    <w:rsid w:val="4D001B6A"/>
    <w:rsid w:val="4D121E36"/>
    <w:rsid w:val="4E4E15E4"/>
    <w:rsid w:val="53A5752C"/>
    <w:rsid w:val="56841E3E"/>
    <w:rsid w:val="614870BF"/>
    <w:rsid w:val="61655E91"/>
    <w:rsid w:val="64B61035"/>
    <w:rsid w:val="699C2CF2"/>
    <w:rsid w:val="6B574262"/>
    <w:rsid w:val="6C52132E"/>
    <w:rsid w:val="6D606E4C"/>
    <w:rsid w:val="7064224A"/>
    <w:rsid w:val="70A13321"/>
    <w:rsid w:val="718D136F"/>
    <w:rsid w:val="71E7367A"/>
    <w:rsid w:val="762878B8"/>
    <w:rsid w:val="7B6475E5"/>
    <w:rsid w:val="7EBA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96699-8B43-4627-B306-18D0AA493DC6}">
  <ds:schemaRefs/>
</ds:datastoreItem>
</file>

<file path=docProps/app.xml><?xml version="1.0" encoding="utf-8"?>
<Properties xmlns="http://schemas.openxmlformats.org/officeDocument/2006/extended-properties" xmlns:vt="http://schemas.openxmlformats.org/officeDocument/2006/docPropsVTypes">
  <Template>Normal</Template>
  <Pages>10</Pages>
  <Words>3778</Words>
  <Characters>5013</Characters>
  <Lines>29</Lines>
  <Paragraphs>8</Paragraphs>
  <TotalTime>2</TotalTime>
  <ScaleCrop>false</ScaleCrop>
  <LinksUpToDate>false</LinksUpToDate>
  <CharactersWithSpaces>5163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2021-12-14T09:40:00Z</dcterms:created>
  <dc:creator>lenovo000001</dc:creator>
  <cp:lastModifiedBy>⭐⭐</cp:lastModifiedBy>
  <dcterms:modified xsi:type="dcterms:W3CDTF">2023-10-26T08:42:01Z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993F05C99997414CB288E6A57C76012D</vt:lpwstr>
  </property>
</Properties>
</file>