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出境定居提取住房公积金服务指南</w:t>
      </w:r>
    </w:p>
    <w:p>
      <w:pPr>
        <w:widowControl/>
        <w:shd w:val="clear" w:color="auto" w:fill="FFFFFF"/>
        <w:spacing w:line="36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-1</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缴存人出境定居的。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313" w:firstLineChars="9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个人住房公积金账户封存且不存在欠缴情况，一次性提取。</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7968" w:type="dxa"/>
        <w:jc w:val="center"/>
        <w:tblCellSpacing w:w="0" w:type="dxa"/>
        <w:tblLayout w:type="autofit"/>
        <w:tblCellMar>
          <w:top w:w="0" w:type="dxa"/>
          <w:left w:w="0" w:type="dxa"/>
          <w:bottom w:w="0" w:type="dxa"/>
          <w:right w:w="0" w:type="dxa"/>
        </w:tblCellMar>
      </w:tblPr>
      <w:tblGrid>
        <w:gridCol w:w="1843"/>
        <w:gridCol w:w="6125"/>
      </w:tblGrid>
      <w:tr>
        <w:tblPrEx>
          <w:tblCellMar>
            <w:top w:w="0" w:type="dxa"/>
            <w:left w:w="0" w:type="dxa"/>
            <w:bottom w:w="0" w:type="dxa"/>
            <w:right w:w="0" w:type="dxa"/>
          </w:tblCellMar>
        </w:tblPrEx>
        <w:trPr>
          <w:trHeight w:val="375" w:hRule="atLeast"/>
          <w:tblCellSpacing w:w="0" w:type="dxa"/>
          <w:jc w:val="center"/>
        </w:trPr>
        <w:tc>
          <w:tcPr>
            <w:tcW w:w="18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6125"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300"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blCellSpacing w:w="0" w:type="dxa"/>
          <w:jc w:val="center"/>
        </w:trPr>
        <w:tc>
          <w:tcPr>
            <w:tcW w:w="184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出境定居</w:t>
            </w:r>
          </w:p>
        </w:tc>
        <w:tc>
          <w:tcPr>
            <w:tcW w:w="612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line="31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 身份证（原件）；</w:t>
            </w:r>
          </w:p>
          <w:p>
            <w:pPr>
              <w:widowControl/>
              <w:spacing w:line="31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2.公安等相关部门签发的移民批准文件或定居国（地区）长期居住证明（原件）。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柳州市住房公积金管理中心网站（http://wt.zfgjj.liuzhou.gov.cn/lznt/login.do）</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268595" cy="3087370"/>
            <wp:effectExtent l="0" t="0" r="825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268595" cy="3087370"/>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委托代办：除申请人身份证原件和上表所列材料外，还需提供申请人书面授权委托书（需申请人签名按手印）和代办人身份证原件。住房公积金提取代办委托书可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4445</wp:posOffset>
                </wp:positionV>
                <wp:extent cx="1646555" cy="266700"/>
                <wp:effectExtent l="0" t="0" r="10795" b="0"/>
                <wp:wrapNone/>
                <wp:docPr id="2" name="文本框 1"/>
                <wp:cNvGraphicFramePr/>
                <a:graphic xmlns:a="http://schemas.openxmlformats.org/drawingml/2006/main">
                  <a:graphicData uri="http://schemas.microsoft.com/office/word/2010/wordprocessingShape">
                    <wps:wsp>
                      <wps:cNvSpPr txBox="1"/>
                      <wps:spPr>
                        <a:xfrm>
                          <a:off x="0" y="0"/>
                          <a:ext cx="164655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5.35pt;margin-top:0.35pt;height:21pt;width:129.65pt;z-index:251660288;mso-width-relative:page;mso-height-relative:page;" fillcolor="#FFFFFF [3201]" filled="t" stroked="f" coordsize="21600,21600" o:gfxdata="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gdf1AAAAAYBAAAPAAAAAAAAAAEAIAAAACIAAABkcnMvZG93bnJldi54bWxQ&#10;SwECFAAUAAAACACHTuJAPtuGJvsBAADlAwAADgAAAAAAAAABACAAAAAjAQAAZHJzL2Uyb0RvYy54&#10;bWxQSwUGAAAAAAYABgBZAQAAkAU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abstractNum w:abstractNumId="1">
    <w:nsid w:val="5560DA46"/>
    <w:multiLevelType w:val="singleLevel"/>
    <w:tmpl w:val="5560DA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116080"/>
    <w:rsid w:val="001168B4"/>
    <w:rsid w:val="0013314B"/>
    <w:rsid w:val="00150998"/>
    <w:rsid w:val="00166302"/>
    <w:rsid w:val="001B1120"/>
    <w:rsid w:val="001B354D"/>
    <w:rsid w:val="001B50F0"/>
    <w:rsid w:val="001D2B4E"/>
    <w:rsid w:val="00211C36"/>
    <w:rsid w:val="0022461E"/>
    <w:rsid w:val="00237884"/>
    <w:rsid w:val="00247B32"/>
    <w:rsid w:val="00251457"/>
    <w:rsid w:val="00261C3F"/>
    <w:rsid w:val="00280AE3"/>
    <w:rsid w:val="002A4A86"/>
    <w:rsid w:val="002B66E0"/>
    <w:rsid w:val="002C0DFF"/>
    <w:rsid w:val="002F54A3"/>
    <w:rsid w:val="003204E3"/>
    <w:rsid w:val="0033009E"/>
    <w:rsid w:val="00387FD1"/>
    <w:rsid w:val="003A6941"/>
    <w:rsid w:val="003A6A8F"/>
    <w:rsid w:val="003B10D8"/>
    <w:rsid w:val="00410534"/>
    <w:rsid w:val="00415066"/>
    <w:rsid w:val="0041624A"/>
    <w:rsid w:val="00421AD6"/>
    <w:rsid w:val="00427745"/>
    <w:rsid w:val="00430E6F"/>
    <w:rsid w:val="004365B6"/>
    <w:rsid w:val="0043772B"/>
    <w:rsid w:val="00457889"/>
    <w:rsid w:val="00472C49"/>
    <w:rsid w:val="00473378"/>
    <w:rsid w:val="00473C6F"/>
    <w:rsid w:val="00476C61"/>
    <w:rsid w:val="004A0A3D"/>
    <w:rsid w:val="004A5EE9"/>
    <w:rsid w:val="004C0341"/>
    <w:rsid w:val="00500E86"/>
    <w:rsid w:val="005149B0"/>
    <w:rsid w:val="00536154"/>
    <w:rsid w:val="00562E15"/>
    <w:rsid w:val="00582699"/>
    <w:rsid w:val="00596EA4"/>
    <w:rsid w:val="005F590C"/>
    <w:rsid w:val="00637E60"/>
    <w:rsid w:val="0065664E"/>
    <w:rsid w:val="00660A75"/>
    <w:rsid w:val="00677020"/>
    <w:rsid w:val="006A3815"/>
    <w:rsid w:val="006B53C4"/>
    <w:rsid w:val="006E76B5"/>
    <w:rsid w:val="00704BAC"/>
    <w:rsid w:val="00731703"/>
    <w:rsid w:val="0075429E"/>
    <w:rsid w:val="007615B6"/>
    <w:rsid w:val="00796255"/>
    <w:rsid w:val="007C0A9B"/>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A7AF8"/>
    <w:rsid w:val="009B5065"/>
    <w:rsid w:val="009C0AF3"/>
    <w:rsid w:val="00A10035"/>
    <w:rsid w:val="00A479C5"/>
    <w:rsid w:val="00A63B25"/>
    <w:rsid w:val="00A86F82"/>
    <w:rsid w:val="00AD7507"/>
    <w:rsid w:val="00B1727F"/>
    <w:rsid w:val="00B23FCD"/>
    <w:rsid w:val="00B35DD1"/>
    <w:rsid w:val="00B402D2"/>
    <w:rsid w:val="00B45D64"/>
    <w:rsid w:val="00B64E99"/>
    <w:rsid w:val="00B72730"/>
    <w:rsid w:val="00B8118C"/>
    <w:rsid w:val="00B81729"/>
    <w:rsid w:val="00BA441F"/>
    <w:rsid w:val="00BD16B9"/>
    <w:rsid w:val="00BF0E13"/>
    <w:rsid w:val="00BF201A"/>
    <w:rsid w:val="00C07E3E"/>
    <w:rsid w:val="00C11A03"/>
    <w:rsid w:val="00C40853"/>
    <w:rsid w:val="00C52759"/>
    <w:rsid w:val="00CB29B8"/>
    <w:rsid w:val="00CC6641"/>
    <w:rsid w:val="00CD59A6"/>
    <w:rsid w:val="00CE2FF7"/>
    <w:rsid w:val="00CF07D2"/>
    <w:rsid w:val="00CF5BF7"/>
    <w:rsid w:val="00D05A80"/>
    <w:rsid w:val="00D253B3"/>
    <w:rsid w:val="00D40480"/>
    <w:rsid w:val="00D53F81"/>
    <w:rsid w:val="00DB1DBB"/>
    <w:rsid w:val="00DD1E40"/>
    <w:rsid w:val="00DD2AC3"/>
    <w:rsid w:val="00DD357D"/>
    <w:rsid w:val="00DE27F5"/>
    <w:rsid w:val="00E1105C"/>
    <w:rsid w:val="00E11AA9"/>
    <w:rsid w:val="00E506B5"/>
    <w:rsid w:val="00E5385F"/>
    <w:rsid w:val="00E74F1F"/>
    <w:rsid w:val="00F004AD"/>
    <w:rsid w:val="00F01B29"/>
    <w:rsid w:val="00F34AB9"/>
    <w:rsid w:val="00F45746"/>
    <w:rsid w:val="00F504BA"/>
    <w:rsid w:val="00F57545"/>
    <w:rsid w:val="00F647C6"/>
    <w:rsid w:val="00F70609"/>
    <w:rsid w:val="00F76651"/>
    <w:rsid w:val="00F905B1"/>
    <w:rsid w:val="00FC4881"/>
    <w:rsid w:val="00FF43B0"/>
    <w:rsid w:val="03F90AE6"/>
    <w:rsid w:val="0B5331D2"/>
    <w:rsid w:val="0B7849E6"/>
    <w:rsid w:val="1324792E"/>
    <w:rsid w:val="162163A6"/>
    <w:rsid w:val="17FD07F1"/>
    <w:rsid w:val="1B481CDF"/>
    <w:rsid w:val="204F6728"/>
    <w:rsid w:val="21D818E3"/>
    <w:rsid w:val="24AA2A39"/>
    <w:rsid w:val="2589388C"/>
    <w:rsid w:val="2E76670C"/>
    <w:rsid w:val="2E8A1EE2"/>
    <w:rsid w:val="2F05640D"/>
    <w:rsid w:val="32144986"/>
    <w:rsid w:val="33154B6D"/>
    <w:rsid w:val="36070CBD"/>
    <w:rsid w:val="3A445910"/>
    <w:rsid w:val="3FA05CDE"/>
    <w:rsid w:val="401651A8"/>
    <w:rsid w:val="4C3258BB"/>
    <w:rsid w:val="4E5B49D8"/>
    <w:rsid w:val="4E8F6BC1"/>
    <w:rsid w:val="4EC217CD"/>
    <w:rsid w:val="4FF9782A"/>
    <w:rsid w:val="53316F22"/>
    <w:rsid w:val="570766C2"/>
    <w:rsid w:val="59E44CEE"/>
    <w:rsid w:val="631321A0"/>
    <w:rsid w:val="684D51E5"/>
    <w:rsid w:val="696574CD"/>
    <w:rsid w:val="69A51678"/>
    <w:rsid w:val="6EDC1FE0"/>
    <w:rsid w:val="74A4534E"/>
    <w:rsid w:val="757E7851"/>
    <w:rsid w:val="76B84035"/>
    <w:rsid w:val="7DA6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1577</Words>
  <Characters>1951</Characters>
  <Lines>11</Lines>
  <Paragraphs>3</Paragraphs>
  <TotalTime>0</TotalTime>
  <ScaleCrop>false</ScaleCrop>
  <LinksUpToDate>false</LinksUpToDate>
  <CharactersWithSpaces>2012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2021-12-14T10:19:00Z</dcterms:created>
  <dc:creator>lenovo000001</dc:creator>
  <cp:lastModifiedBy>⭐⭐</cp:lastModifiedBy>
  <dcterms:modified xsi:type="dcterms:W3CDTF">2023-10-26T08:44:18Z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E96100EAF5E64D6EA1A5C79420C2BCC9</vt:lpwstr>
  </property>
</Properties>
</file>