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ind w:left="1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药品和医疗器械安全突发事件分级标准</w:t>
      </w:r>
    </w:p>
    <w:bookmarkEnd w:id="0"/>
    <w:tbl>
      <w:tblPr>
        <w:tblStyle w:val="4"/>
        <w:tblW w:w="9259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7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事件分级</w:t>
            </w:r>
          </w:p>
        </w:tc>
        <w:tc>
          <w:tcPr>
            <w:tcW w:w="7756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评估指标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</w:trPr>
        <w:tc>
          <w:tcPr>
            <w:tcW w:w="150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特别重大药品安全突发事件（</w:t>
            </w:r>
            <w:r>
              <w:rPr>
                <w:rFonts w:hint="eastAsia" w:ascii="仿宋_GB2312" w:hAnsi="宋体" w:eastAsia="仿宋_GB2312" w:cs="宋体"/>
                <w:sz w:val="24"/>
              </w:rPr>
              <w:t>Ⅰ</w:t>
            </w:r>
            <w:r>
              <w:rPr>
                <w:rFonts w:hint="eastAsia" w:ascii="仿宋_GB2312" w:eastAsia="仿宋_GB2312"/>
                <w:sz w:val="24"/>
              </w:rPr>
              <w:t>级）</w:t>
            </w:r>
          </w:p>
        </w:tc>
        <w:tc>
          <w:tcPr>
            <w:tcW w:w="7756" w:type="dxa"/>
          </w:tcPr>
          <w:p>
            <w:pPr>
              <w:spacing w:line="3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）在相对集中的时间和（或）区域内，批号相对集中的同一药品（指同一生产企业生产的同一药品名、同一剂型、同一规格的药品，下同）引起临床表现相似的，且罕见的或非预期的不良事件的人数超过</w:t>
            </w:r>
            <w:r>
              <w:rPr>
                <w:rFonts w:ascii="仿宋_GB2312" w:eastAsia="仿宋_GB2312"/>
                <w:sz w:val="24"/>
              </w:rPr>
              <w:t>50</w:t>
            </w:r>
            <w:r>
              <w:rPr>
                <w:rFonts w:hint="eastAsia" w:ascii="仿宋_GB2312" w:eastAsia="仿宋_GB2312"/>
                <w:sz w:val="24"/>
              </w:rPr>
              <w:t>人（含）；或者引起特别严重不良事件（可能对人体造成永久性伤残、对器官功能造成永久性损伤或危及生命的，下同）的人数超过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人（含）。</w:t>
            </w:r>
          </w:p>
          <w:p>
            <w:pPr>
              <w:spacing w:line="3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）同一批号药品短期内引起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例（含）以上患者死亡。</w:t>
            </w:r>
          </w:p>
          <w:p>
            <w:pPr>
              <w:spacing w:line="3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）短期内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个以上省（自治区、直辖市）因同一药品发生Ⅱ级药品安全突发事件。</w:t>
            </w:r>
          </w:p>
          <w:p>
            <w:pPr>
              <w:spacing w:line="3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）其他危害特别严重的药品安全突发事件。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150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重大药品安全突发事件（</w:t>
            </w:r>
            <w:r>
              <w:rPr>
                <w:rFonts w:hint="eastAsia" w:ascii="仿宋_GB2312" w:hAnsi="宋体" w:eastAsia="仿宋_GB2312" w:cs="宋体"/>
                <w:sz w:val="24"/>
              </w:rPr>
              <w:t>Ⅱ</w:t>
            </w:r>
            <w:r>
              <w:rPr>
                <w:rFonts w:hint="eastAsia" w:ascii="仿宋_GB2312" w:eastAsia="仿宋_GB2312"/>
                <w:sz w:val="24"/>
              </w:rPr>
              <w:t>级）</w:t>
            </w:r>
          </w:p>
        </w:tc>
        <w:tc>
          <w:tcPr>
            <w:tcW w:w="7756" w:type="dxa"/>
          </w:tcPr>
          <w:p>
            <w:pPr>
              <w:spacing w:line="3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）在相对集中的时间和（或）区域内，批号相对集中的同一药品引起临床表现相似的，且罕见的或非预期的不良事件的人数超过</w:t>
            </w:r>
            <w:r>
              <w:rPr>
                <w:rFonts w:ascii="仿宋_GB2312" w:eastAsia="仿宋_GB2312"/>
                <w:sz w:val="24"/>
              </w:rPr>
              <w:t>30</w:t>
            </w:r>
            <w:r>
              <w:rPr>
                <w:rFonts w:hint="eastAsia" w:ascii="仿宋_GB2312" w:eastAsia="仿宋_GB2312"/>
                <w:sz w:val="24"/>
              </w:rPr>
              <w:t>人（含），少于</w:t>
            </w:r>
            <w:r>
              <w:rPr>
                <w:rFonts w:ascii="仿宋_GB2312" w:eastAsia="仿宋_GB2312"/>
                <w:sz w:val="24"/>
              </w:rPr>
              <w:t>50</w:t>
            </w:r>
            <w:r>
              <w:rPr>
                <w:rFonts w:hint="eastAsia" w:ascii="仿宋_GB2312" w:eastAsia="仿宋_GB2312"/>
                <w:sz w:val="24"/>
              </w:rPr>
              <w:t>人；或者引起特别严重不良事件超过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人（含），少于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人。</w:t>
            </w:r>
          </w:p>
          <w:p>
            <w:pPr>
              <w:spacing w:line="3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）同一批号药品短期内引起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至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例患者死亡，且在同一区域内同时出现其他类似病例。</w:t>
            </w:r>
          </w:p>
          <w:p>
            <w:pPr>
              <w:spacing w:line="3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）短期内，我区</w:t>
            </w:r>
            <w:r>
              <w:rPr>
                <w:rFonts w:ascii="仿宋_GB2312" w:eastAsia="仿宋_GB2312"/>
                <w:sz w:val="24"/>
              </w:rPr>
              <w:t xml:space="preserve"> 2</w:t>
            </w:r>
            <w:r>
              <w:rPr>
                <w:rFonts w:hint="eastAsia" w:ascii="仿宋_GB2312" w:eastAsia="仿宋_GB2312"/>
                <w:sz w:val="24"/>
              </w:rPr>
              <w:t>个以上设区市因同一药品发生Ⅲ级药品安全突发事件。</w:t>
            </w:r>
          </w:p>
          <w:p>
            <w:pPr>
              <w:spacing w:line="3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）其他危害严重的药品安全突发事件。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150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较大药品安全突发事件（</w:t>
            </w:r>
            <w:r>
              <w:rPr>
                <w:rFonts w:hint="eastAsia" w:ascii="仿宋_GB2312" w:hAnsi="宋体" w:eastAsia="仿宋_GB2312" w:cs="宋体"/>
                <w:sz w:val="24"/>
              </w:rPr>
              <w:t>Ⅲ</w:t>
            </w:r>
            <w:r>
              <w:rPr>
                <w:rFonts w:hint="eastAsia" w:ascii="仿宋_GB2312" w:eastAsia="仿宋_GB2312"/>
                <w:sz w:val="24"/>
              </w:rPr>
              <w:t>级）</w:t>
            </w:r>
          </w:p>
        </w:tc>
        <w:tc>
          <w:tcPr>
            <w:tcW w:w="7756" w:type="dxa"/>
          </w:tcPr>
          <w:p>
            <w:pPr>
              <w:spacing w:line="3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）在相对集中的时间和（或）区域内，批号相对集中的同一药品引起临床表现相似的，且罕见的或非预期的不良事件的人数超过</w:t>
            </w: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人（含），少于</w:t>
            </w:r>
            <w:r>
              <w:rPr>
                <w:rFonts w:ascii="仿宋_GB2312" w:eastAsia="仿宋_GB2312"/>
                <w:sz w:val="24"/>
              </w:rPr>
              <w:t>30</w:t>
            </w:r>
            <w:r>
              <w:rPr>
                <w:rFonts w:hint="eastAsia" w:ascii="仿宋_GB2312" w:eastAsia="仿宋_GB2312"/>
                <w:sz w:val="24"/>
              </w:rPr>
              <w:t>人；或者引起特别严重不良事件，涉及人数超过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人（含），少于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人。</w:t>
            </w:r>
          </w:p>
          <w:p>
            <w:pPr>
              <w:spacing w:line="3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）短期内，我市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个以上县（区）因同一药品发生Ⅳ级药品安全突发事件。</w:t>
            </w:r>
          </w:p>
          <w:p>
            <w:pPr>
              <w:spacing w:line="3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）其他危害较大的药品安全突发事件。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50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一般药品安全突发事件（</w:t>
            </w:r>
            <w:r>
              <w:rPr>
                <w:rFonts w:hint="eastAsia" w:ascii="仿宋_GB2312" w:hAnsi="宋体" w:eastAsia="仿宋_GB2312" w:cs="宋体"/>
                <w:sz w:val="24"/>
              </w:rPr>
              <w:t>Ⅳ</w:t>
            </w:r>
            <w:r>
              <w:rPr>
                <w:rFonts w:hint="eastAsia" w:ascii="仿宋_GB2312" w:eastAsia="仿宋_GB2312"/>
                <w:sz w:val="24"/>
              </w:rPr>
              <w:t>级）</w:t>
            </w:r>
          </w:p>
        </w:tc>
        <w:tc>
          <w:tcPr>
            <w:tcW w:w="7756" w:type="dxa"/>
          </w:tcPr>
          <w:p>
            <w:pPr>
              <w:spacing w:line="3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）在相对集中的时间和（或）区域内，批号相对集中的同一药品引起临床表现相似的，且罕见的或非预期的不良事件的人数超过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人（含），少于</w:t>
            </w: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人；或者引起特别严重不良事件，涉及人数超过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人（含），少于3人。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>
            <w:pPr>
              <w:spacing w:line="3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）其他一般药品安全突发事件。</w:t>
            </w:r>
          </w:p>
        </w:tc>
      </w:tr>
    </w:tbl>
    <w:p>
      <w:p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073EC"/>
    <w:rsid w:val="0D30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2021-09-09T06:06:00Z</dcterms:created>
  <dc:creator>Administrator</dc:creator>
  <cp:lastModifiedBy>Administrator</cp:lastModifiedBy>
  <dcterms:modified xsi:type="dcterms:W3CDTF">2021-09-09T06:08:08Z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1E366FF7E2EE4560962BB87BB82F941D</vt:lpwstr>
  </property>
</Properties>
</file>