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方正小标宋简体"/>
          <w:color w:val="000000" w:themeColor="text1"/>
          <w:sz w:val="44"/>
          <w:szCs w:val="44"/>
        </w:rPr>
      </w:pPr>
      <w:bookmarkStart w:id="0" w:name="_Toc24947"/>
      <w:bookmarkStart w:id="1" w:name="_Toc1626"/>
      <w:bookmarkStart w:id="2" w:name="_Toc6707"/>
      <w:bookmarkStart w:id="3" w:name="_Toc17266"/>
      <w:bookmarkStart w:id="4" w:name="_Toc31040"/>
      <w:bookmarkStart w:id="5" w:name="_Toc15608"/>
    </w:p>
    <w:p>
      <w:pPr>
        <w:adjustRightInd w:val="0"/>
        <w:snapToGrid w:val="0"/>
        <w:spacing w:line="560" w:lineRule="exact"/>
        <w:jc w:val="center"/>
        <w:rPr>
          <w:rFonts w:eastAsia="方正小标宋简体"/>
          <w:color w:val="000000" w:themeColor="text1"/>
          <w:sz w:val="44"/>
          <w:szCs w:val="44"/>
        </w:rPr>
      </w:pPr>
    </w:p>
    <w:p>
      <w:pPr>
        <w:adjustRightInd w:val="0"/>
        <w:snapToGrid w:val="0"/>
        <w:spacing w:line="560" w:lineRule="exact"/>
        <w:jc w:val="center"/>
        <w:rPr>
          <w:rFonts w:eastAsia="方正小标宋简体"/>
          <w:color w:val="000000" w:themeColor="text1"/>
          <w:sz w:val="44"/>
          <w:szCs w:val="44"/>
        </w:rPr>
      </w:pPr>
    </w:p>
    <w:p>
      <w:pPr>
        <w:adjustRightInd w:val="0"/>
        <w:snapToGrid w:val="0"/>
        <w:spacing w:line="560" w:lineRule="exact"/>
        <w:jc w:val="center"/>
        <w:rPr>
          <w:rFonts w:eastAsia="方正小标宋简体"/>
          <w:color w:val="000000" w:themeColor="text1"/>
          <w:sz w:val="44"/>
          <w:szCs w:val="44"/>
        </w:rPr>
      </w:pPr>
    </w:p>
    <w:p>
      <w:pPr>
        <w:adjustRightInd w:val="0"/>
        <w:snapToGrid w:val="0"/>
        <w:spacing w:line="560" w:lineRule="exact"/>
        <w:jc w:val="center"/>
        <w:rPr>
          <w:rFonts w:eastAsia="方正小标宋简体"/>
          <w:color w:val="000000" w:themeColor="text1"/>
          <w:sz w:val="44"/>
          <w:szCs w:val="44"/>
        </w:rPr>
      </w:pPr>
    </w:p>
    <w:p>
      <w:pPr>
        <w:adjustRightInd w:val="0"/>
        <w:snapToGrid w:val="0"/>
        <w:spacing w:line="560" w:lineRule="exact"/>
        <w:jc w:val="center"/>
        <w:rPr>
          <w:rFonts w:eastAsia="方正小标宋简体"/>
          <w:color w:val="000000" w:themeColor="text1"/>
          <w:sz w:val="44"/>
          <w:szCs w:val="44"/>
        </w:rPr>
      </w:pPr>
    </w:p>
    <w:p>
      <w:pPr>
        <w:adjustRightInd w:val="0"/>
        <w:snapToGrid w:val="0"/>
        <w:spacing w:line="560" w:lineRule="exact"/>
        <w:jc w:val="center"/>
        <w:rPr>
          <w:rFonts w:eastAsia="方正小标宋简体"/>
          <w:color w:val="000000" w:themeColor="text1"/>
          <w:sz w:val="44"/>
          <w:szCs w:val="44"/>
        </w:rPr>
      </w:pPr>
    </w:p>
    <w:p>
      <w:pPr>
        <w:adjustRightInd w:val="0"/>
        <w:snapToGrid w:val="0"/>
        <w:spacing w:line="560" w:lineRule="exact"/>
        <w:jc w:val="center"/>
        <w:rPr>
          <w:rFonts w:eastAsia="方正小标宋简体"/>
          <w:color w:val="000000" w:themeColor="text1"/>
          <w:sz w:val="44"/>
          <w:szCs w:val="44"/>
        </w:rPr>
      </w:pPr>
    </w:p>
    <w:p>
      <w:pPr>
        <w:adjustRightInd w:val="0"/>
        <w:snapToGrid w:val="0"/>
        <w:spacing w:line="560" w:lineRule="exact"/>
        <w:jc w:val="center"/>
        <w:rPr>
          <w:rFonts w:eastAsia="方正小标宋简体"/>
          <w:color w:val="000000" w:themeColor="text1"/>
          <w:sz w:val="44"/>
          <w:szCs w:val="44"/>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rPr>
      </w:pPr>
    </w:p>
    <w:p>
      <w:pPr>
        <w:pStyle w:val="3"/>
        <w:spacing w:beforeAutospacing="0" w:afterAutospacing="0" w:line="560" w:lineRule="exact"/>
        <w:jc w:val="center"/>
        <w:rPr>
          <w:rFonts w:hint="default" w:ascii="方正小标宋简体" w:hAnsi="方正小标宋简体" w:eastAsia="方正小标宋简体" w:cs="方正小标宋简体"/>
          <w:b w:val="0"/>
          <w:sz w:val="44"/>
          <w:szCs w:val="44"/>
        </w:rPr>
      </w:pPr>
      <w:r>
        <w:rPr>
          <w:rFonts w:ascii="方正小标宋简体" w:hAnsi="方正小标宋简体" w:eastAsia="方正小标宋简体" w:cs="方正小标宋简体"/>
          <w:b w:val="0"/>
          <w:sz w:val="44"/>
          <w:szCs w:val="44"/>
        </w:rPr>
        <w:t>融安县危险化学品生产安全事故应急预案</w:t>
      </w:r>
      <w:bookmarkEnd w:id="0"/>
      <w:bookmarkEnd w:id="1"/>
      <w:bookmarkEnd w:id="2"/>
      <w:bookmarkEnd w:id="3"/>
      <w:bookmarkEnd w:id="4"/>
      <w:bookmarkEnd w:id="5"/>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rPr>
      </w:pPr>
    </w:p>
    <w:p>
      <w:pPr>
        <w:adjustRightInd w:val="0"/>
        <w:snapToGrid w:val="0"/>
        <w:spacing w:line="560" w:lineRule="exact"/>
        <w:jc w:val="center"/>
        <w:rPr>
          <w:rFonts w:eastAsia="方正小标宋简体"/>
          <w:color w:val="000000" w:themeColor="text1"/>
          <w:sz w:val="44"/>
          <w:szCs w:val="44"/>
        </w:rPr>
      </w:pPr>
    </w:p>
    <w:p>
      <w:pPr>
        <w:adjustRightInd w:val="0"/>
        <w:snapToGrid w:val="0"/>
        <w:spacing w:line="560" w:lineRule="exact"/>
        <w:jc w:val="center"/>
        <w:rPr>
          <w:rFonts w:eastAsia="方正小标宋简体"/>
          <w:color w:val="000000" w:themeColor="text1"/>
          <w:sz w:val="44"/>
          <w:szCs w:val="44"/>
        </w:rPr>
      </w:pPr>
    </w:p>
    <w:p>
      <w:pPr>
        <w:adjustRightInd w:val="0"/>
        <w:snapToGrid w:val="0"/>
        <w:spacing w:line="560" w:lineRule="exact"/>
        <w:jc w:val="center"/>
        <w:rPr>
          <w:rFonts w:eastAsia="方正小标宋简体"/>
          <w:color w:val="000000" w:themeColor="text1"/>
          <w:sz w:val="44"/>
          <w:szCs w:val="44"/>
        </w:rPr>
      </w:pPr>
    </w:p>
    <w:p>
      <w:pPr>
        <w:adjustRightInd w:val="0"/>
        <w:snapToGrid w:val="0"/>
        <w:spacing w:line="560" w:lineRule="exact"/>
        <w:jc w:val="center"/>
        <w:rPr>
          <w:rFonts w:eastAsia="方正小标宋简体"/>
          <w:color w:val="000000" w:themeColor="text1"/>
          <w:sz w:val="44"/>
          <w:szCs w:val="44"/>
        </w:rPr>
      </w:pPr>
    </w:p>
    <w:p>
      <w:pPr>
        <w:pStyle w:val="2"/>
        <w:spacing w:line="560" w:lineRule="exact"/>
        <w:jc w:val="center"/>
        <w:rPr>
          <w:rFonts w:hint="default" w:ascii="Times New Roman" w:hAnsi="Times New Roman" w:eastAsia="方正小标宋简体"/>
          <w:color w:val="000000" w:themeColor="text1"/>
          <w:sz w:val="44"/>
          <w:szCs w:val="44"/>
        </w:rPr>
      </w:pPr>
    </w:p>
    <w:p>
      <w:pPr>
        <w:pStyle w:val="2"/>
        <w:spacing w:line="520" w:lineRule="exact"/>
        <w:jc w:val="center"/>
        <w:rPr>
          <w:rFonts w:hint="default" w:ascii="Times New Roman" w:hAnsi="Times New Roman" w:eastAsia="黑体"/>
          <w:color w:val="000000" w:themeColor="text1"/>
          <w:sz w:val="32"/>
          <w:szCs w:val="32"/>
        </w:rPr>
        <w:sectPr>
          <w:pgSz w:w="11906" w:h="16838"/>
          <w:pgMar w:top="2098" w:right="1474" w:bottom="1984" w:left="1587" w:header="851" w:footer="992" w:gutter="0"/>
          <w:cols w:space="0" w:num="1"/>
          <w:docGrid w:type="lines" w:linePitch="312" w:charSpace="0"/>
        </w:sectPr>
      </w:pPr>
    </w:p>
    <w:p>
      <w:pPr>
        <w:spacing w:line="560" w:lineRule="exact"/>
        <w:rPr>
          <w:rFonts w:ascii="仿宋" w:hAnsi="仿宋" w:eastAsia="仿宋" w:cs="仿宋"/>
          <w:sz w:val="32"/>
          <w:szCs w:val="32"/>
        </w:rPr>
      </w:pPr>
    </w:p>
    <w:sdt>
      <w:sdtPr>
        <w:rPr>
          <w:rFonts w:hint="eastAsia" w:ascii="宋体" w:hAnsi="宋体" w:eastAsia="宋体" w:cs="Times New Roman"/>
          <w:b/>
          <w:kern w:val="44"/>
          <w:sz w:val="32"/>
          <w:szCs w:val="32"/>
        </w:rPr>
        <w:id w:val="147463617"/>
        <w:docPartObj>
          <w:docPartGallery w:val="Table of Contents"/>
          <w:docPartUnique/>
        </w:docPartObj>
      </w:sdtPr>
      <w:sdtEndPr>
        <w:rPr>
          <w:rFonts w:hint="eastAsia" w:ascii="仿宋" w:hAnsi="仿宋" w:eastAsia="仿宋" w:cs="仿宋"/>
          <w:b/>
          <w:kern w:val="44"/>
          <w:sz w:val="32"/>
          <w:szCs w:val="32"/>
        </w:rPr>
      </w:sdtEndPr>
      <w:sdtContent>
        <w:p>
          <w:pPr>
            <w:spacing w:line="560" w:lineRule="exact"/>
            <w:jc w:val="center"/>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12"/>
            <w:tabs>
              <w:tab w:val="right" w:leader="dot" w:pos="8306"/>
            </w:tabs>
            <w:spacing w:line="560" w:lineRule="exact"/>
            <w:rPr>
              <w:rFonts w:hint="default" w:ascii="Times New Roman" w:hAnsi="Times New Roman" w:eastAsia="仿宋_GB2312" w:cs="Times New Roman"/>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"1-3" \h \u </w:instrText>
          </w:r>
          <w:r>
            <w:rPr>
              <w:rFonts w:hint="eastAsia" w:ascii="仿宋" w:hAnsi="仿宋" w:eastAsia="仿宋" w:cs="仿宋"/>
              <w:sz w:val="32"/>
              <w:szCs w:val="32"/>
            </w:rPr>
            <w:fldChar w:fldCharType="separate"/>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"_Toc26989"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1.总则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_Toc26989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"_Toc8600"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1.1编制目的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_Toc8600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"_Toc26276"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1.2编制依据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_Toc26276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"_Toc8452"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1.3适用范围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_Toc8452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"_Toc7882"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1.4工作原则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_Toc7882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"_Toc633"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1.5事故分级</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_Toc633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"_Toc21851"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1.6应急预案体系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_Toc21851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2"/>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"_Toc25624"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2组织指挥体系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_Toc25624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"_Toc24100"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2.1融安县层面组织指挥机构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_Toc24100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"_Toc2023"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2.1.1融安县安全生产委员会</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_Toc2023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"_Toc25304"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2.1.2县指挥部人员组成及职责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_Toc25304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"_Toc10632"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2.1.3现场指挥部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_Toc10632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"_Toc28260"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2.1.4应急工作组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_Toc28260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"_Toc14009"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2.1.5专家组</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_Toc14009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2"/>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"_Toc13292"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3风险防控与监测预警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_Toc13292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"_Toc10476"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3.1风险防控</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_Toc10476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"_Toc30351"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3.2监测与预警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_Toc30351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"_Toc28785"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3.2.1监测</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_Toc28785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"_Toc24673"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3.2.2预警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_Toc24673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2"/>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"_Toc9727"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4运行机制</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_Toc9727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"_Toc19015"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4.1事故信息报告</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_Toc19015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"_Toc7603"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4.1.1信息报告程序</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_Toc7603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"_Toc17301"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4.1.2信息报告内容</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_Toc17301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"_Toc3758"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4.1.3信息发布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_Toc3758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"_Toc24469"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4.2应急响应</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_Toc24469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"_Toc23804"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4.2.1响应分级</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_Toc23804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"_Toc20965"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4.2.2响应程序</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_Toc20965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"_Toc2448"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4.3应急处置与救援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_Toc2448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"_Toc31832"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4.3.1先期处置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_Toc31832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"_Toc25044"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4.3.2指挥协调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_Toc25044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"_Toc5714"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4.3.3处置措施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_Toc5714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"_Toc11956"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4.3.4救援暂停和终止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_Toc11956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"_Toc21995"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4.4后期处置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_Toc21995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"_Toc6496"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4.4.1善后处置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_Toc6496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"_Toc17700"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4.4.2事故调查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_Toc17700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"_Toc15134"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4.4.3总结评估</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_Toc15134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2"/>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"_Toc6734"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5准备与支付</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_Toc6734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"_Toc29337"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5.1队伍准备</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_Toc29337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"_Toc7319"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5.2财力支持</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_Toc7319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"_Toc2218"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5.3物资保障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_Toc2218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"_Toc15931"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5.4医疗卫生保障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_Toc15931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"_Toc18526"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5.5交通运输保障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_Toc18526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"_Toc8415"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5.6治安保障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_Toc8415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"_Toc3150"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5.7通信保障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_Toc3150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2"/>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"_Toc7711"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6预案管理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_Toc7711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"_Toc4987"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6.1预案体系建设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_Toc4987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"_Toc32104"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6.2预案修订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_Toc32104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"_Toc16976"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6.3预案评审与公布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_Toc16976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"_Toc2429"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6.4预案宣传和培训</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_Toc2429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"_Toc22651"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6.5预案演练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_Toc22651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2"/>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"_Toc2914"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7奖励与责任追究</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_Toc2914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"_Toc10934"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7.1奖励</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_Toc10934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"_Toc7565"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7.2责任追究</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_Toc7565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2"/>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"_Toc10174"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8附则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_Toc10174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2"/>
            <w:tabs>
              <w:tab w:val="right" w:leader="dot" w:pos="8306"/>
            </w:tabs>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"_Toc8573"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9附件</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_Toc8573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"_Toc27135"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9.1危险化学品企业现状及事故风险辨识与评估</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_Toc27135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pos="3600"/>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"_Toc13098"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9.1.1</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融安县涉及危险化学品企业情况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_Toc13098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"_Toc25547"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9.1.2主要事故类型</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_Toc25547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"_Toc4337"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9.1.3重点防范区域</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_Toc4337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"_Toc25104"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9.2应急资源情况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_Toc25104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"_Toc25579"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9.2.1应急救援队伍建设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_Toc25579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"_Toc16870"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9.2.2应急物资装备储备</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_Toc16870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"_Toc29634"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9.2.3应急救援专家建设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_Toc29634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"_Toc22385"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9.3县指挥部相关职责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_Toc22385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"_Toc27279"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9.3.1 县指挥部的主要职责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_Toc27279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"_Toc14566"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9.3.2县指挥部办公室的主要职责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_Toc14566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"_Toc12354"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9.3.3县指挥部成员单位的主要职责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_Toc12354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"_Toc30393"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9.3.4现场指挥部的主要职责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_Toc30393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"_Toc25246"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9.3.5应急工作组的主要职责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_Toc25246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"_Toc21057"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9.4危险化学品生产安全事故应急处置要点</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_Toc21057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"_Toc21975"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9.4.1火灾事故现场处置要点</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_Toc21975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"_Toc20039"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9.4.2爆炸事故现场处置要点</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_Toc20039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"_Toc11085"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9.4.3易燃、易爆物质泄漏事故现场处置要点</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_Toc11085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8"/>
            <w:tabs>
              <w:tab w:val="right" w:leader="dot" w:pos="8306"/>
            </w:tabs>
            <w:spacing w:line="560" w:lineRule="exact"/>
            <w:ind w:left="0" w:leftChars="0"/>
            <w:rPr>
              <w:sz w:val="32"/>
              <w:szCs w:val="32"/>
            </w:rPr>
          </w:pP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\l "_Toc4457"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9.4.4有毒物质泄漏事故现场处置要点</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_Toc4457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3"/>
            <w:spacing w:beforeAutospacing="0" w:afterAutospacing="0" w:line="560" w:lineRule="exact"/>
            <w:rPr>
              <w:rFonts w:hint="default" w:ascii="仿宋" w:hAnsi="仿宋" w:eastAsia="仿宋" w:cs="仿宋"/>
              <w:b w:val="0"/>
              <w:szCs w:val="32"/>
            </w:rPr>
          </w:pPr>
          <w:r>
            <w:rPr>
              <w:rFonts w:ascii="仿宋" w:hAnsi="仿宋" w:eastAsia="仿宋" w:cs="仿宋"/>
              <w:b w:val="0"/>
              <w:szCs w:val="32"/>
            </w:rPr>
            <w:fldChar w:fldCharType="end"/>
          </w:r>
        </w:p>
      </w:sdtContent>
    </w:sdt>
    <w:p>
      <w:pPr>
        <w:pStyle w:val="3"/>
        <w:spacing w:beforeAutospacing="0" w:afterAutospacing="0" w:line="560" w:lineRule="exact"/>
        <w:rPr>
          <w:rFonts w:hint="default" w:ascii="仿宋" w:hAnsi="仿宋" w:eastAsia="仿宋" w:cs="仿宋"/>
          <w:b w:val="0"/>
          <w:szCs w:val="32"/>
        </w:rPr>
      </w:pPr>
    </w:p>
    <w:p>
      <w:pPr>
        <w:spacing w:line="560" w:lineRule="exact"/>
        <w:rPr>
          <w:sz w:val="32"/>
          <w:szCs w:val="32"/>
        </w:rPr>
      </w:pPr>
    </w:p>
    <w:p>
      <w:pPr>
        <w:spacing w:line="560" w:lineRule="exact"/>
        <w:rPr>
          <w:sz w:val="32"/>
          <w:szCs w:val="32"/>
        </w:rPr>
      </w:pPr>
    </w:p>
    <w:p>
      <w:pPr>
        <w:spacing w:line="560" w:lineRule="exact"/>
        <w:rPr>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3"/>
        <w:spacing w:beforeAutospacing="0" w:afterAutospacing="0" w:line="560" w:lineRule="exact"/>
        <w:ind w:firstLine="640" w:firstLineChars="200"/>
        <w:rPr>
          <w:rFonts w:hint="default"/>
          <w:b w:val="0"/>
          <w:szCs w:val="32"/>
        </w:rPr>
      </w:pPr>
      <w:bookmarkStart w:id="6" w:name="_Toc26989"/>
      <w:r>
        <w:rPr>
          <w:rFonts w:hint="default" w:ascii="Times New Roman" w:hAnsi="Times New Roman"/>
          <w:b w:val="0"/>
          <w:szCs w:val="32"/>
        </w:rPr>
        <w:t>1</w:t>
      </w:r>
      <w:r>
        <w:rPr>
          <w:b w:val="0"/>
          <w:szCs w:val="32"/>
        </w:rPr>
        <w:t>.总则</w:t>
      </w:r>
      <w:bookmarkEnd w:id="6"/>
    </w:p>
    <w:p>
      <w:pPr>
        <w:pStyle w:val="4"/>
        <w:spacing w:beforeAutospacing="0" w:afterAutospacing="0" w:line="560" w:lineRule="exact"/>
        <w:ind w:firstLine="640" w:firstLineChars="200"/>
        <w:rPr>
          <w:rFonts w:hint="default"/>
          <w:b w:val="0"/>
          <w:szCs w:val="32"/>
        </w:rPr>
      </w:pPr>
      <w:bookmarkStart w:id="7" w:name="_Toc8600"/>
      <w:r>
        <w:rPr>
          <w:rFonts w:hint="default" w:ascii="Times New Roman" w:hAnsi="Times New Roman"/>
          <w:b w:val="0"/>
          <w:szCs w:val="32"/>
        </w:rPr>
        <w:t>1</w:t>
      </w:r>
      <w:r>
        <w:rPr>
          <w:b w:val="0"/>
          <w:szCs w:val="32"/>
        </w:rPr>
        <w:t>.</w:t>
      </w:r>
      <w:r>
        <w:rPr>
          <w:rFonts w:hint="default" w:ascii="Times New Roman" w:hAnsi="Times New Roman"/>
          <w:b w:val="0"/>
          <w:szCs w:val="32"/>
        </w:rPr>
        <w:t>1</w:t>
      </w:r>
      <w:r>
        <w:rPr>
          <w:b w:val="0"/>
          <w:szCs w:val="32"/>
        </w:rPr>
        <w:t>编制目的</w:t>
      </w:r>
      <w:bookmarkEnd w:id="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县危险化学品生产安全事故(以下简称危险化学品事故)应急救援体系，提高危险化学品事故的防范和应急处置能力，最大限度地避免和减少事故造成的人员伤亡、财产损失及对环境的危害，维护社会稳定。</w:t>
      </w:r>
    </w:p>
    <w:p>
      <w:pPr>
        <w:pStyle w:val="4"/>
        <w:spacing w:beforeAutospacing="0" w:afterAutospacing="0" w:line="560" w:lineRule="exact"/>
        <w:ind w:firstLine="640" w:firstLineChars="200"/>
        <w:rPr>
          <w:rFonts w:hint="default"/>
          <w:b w:val="0"/>
          <w:szCs w:val="32"/>
        </w:rPr>
      </w:pPr>
      <w:bookmarkStart w:id="8" w:name="_Toc26276"/>
      <w:r>
        <w:rPr>
          <w:rFonts w:hint="default" w:ascii="Times New Roman" w:hAnsi="Times New Roman"/>
          <w:b w:val="0"/>
          <w:szCs w:val="32"/>
        </w:rPr>
        <w:t>1</w:t>
      </w:r>
      <w:r>
        <w:rPr>
          <w:b w:val="0"/>
          <w:szCs w:val="32"/>
        </w:rPr>
        <w:t>.</w:t>
      </w:r>
      <w:r>
        <w:rPr>
          <w:rFonts w:hint="default" w:ascii="Times New Roman" w:hAnsi="Times New Roman"/>
          <w:b w:val="0"/>
          <w:szCs w:val="32"/>
        </w:rPr>
        <w:t>2</w:t>
      </w:r>
      <w:r>
        <w:rPr>
          <w:b w:val="0"/>
          <w:szCs w:val="32"/>
        </w:rPr>
        <w:t>编制依据</w:t>
      </w:r>
      <w:bookmarkEnd w:id="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突发事件应对法》《中华人民共和国安全生产法》《危险化学品安全管理条例》《生产安全事故报告和调查处理条例》《生产安全事故应急条例》《生产安全事故应急预案管理办法》《生产安全事故应急演练指南》（</w:t>
      </w:r>
      <w:r>
        <w:rPr>
          <w:rFonts w:ascii="Times New Roman" w:hAnsi="Times New Roman" w:eastAsia="仿宋_GB2312" w:cs="Times New Roman"/>
          <w:sz w:val="32"/>
          <w:szCs w:val="32"/>
        </w:rPr>
        <w:t>AQ</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T9007</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2011</w:t>
      </w:r>
      <w:r>
        <w:rPr>
          <w:rFonts w:hint="eastAsia" w:ascii="仿宋_GB2312" w:hAnsi="仿宋_GB2312" w:eastAsia="仿宋_GB2312" w:cs="仿宋_GB2312"/>
          <w:sz w:val="32"/>
          <w:szCs w:val="32"/>
        </w:rPr>
        <w:t>）《生产安全事故应急演练评估规范》（</w:t>
      </w:r>
      <w:r>
        <w:rPr>
          <w:rFonts w:ascii="Times New Roman" w:hAnsi="Times New Roman" w:eastAsia="仿宋_GB2312" w:cs="Times New Roman"/>
          <w:sz w:val="32"/>
          <w:szCs w:val="32"/>
        </w:rPr>
        <w:t>AQ</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T9009</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2015</w:t>
      </w:r>
      <w:r>
        <w:rPr>
          <w:rFonts w:hint="eastAsia" w:ascii="仿宋_GB2312" w:hAnsi="仿宋_GB2312" w:eastAsia="仿宋_GB2312" w:cs="仿宋_GB2312"/>
          <w:sz w:val="32"/>
          <w:szCs w:val="32"/>
        </w:rPr>
        <w:t>）《危险化学品单位应急救援物资配备要求》（</w:t>
      </w:r>
      <w:r>
        <w:rPr>
          <w:rFonts w:ascii="Times New Roman" w:hAnsi="Times New Roman" w:eastAsia="仿宋_GB2312" w:cs="Times New Roman"/>
          <w:sz w:val="32"/>
          <w:szCs w:val="32"/>
        </w:rPr>
        <w:t>GB30077</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2013</w:t>
      </w:r>
      <w:r>
        <w:rPr>
          <w:rFonts w:hint="eastAsia" w:ascii="仿宋_GB2312" w:hAnsi="仿宋_GB2312" w:eastAsia="仿宋_GB2312" w:cs="仿宋_GB2312"/>
          <w:sz w:val="32"/>
          <w:szCs w:val="32"/>
        </w:rPr>
        <w:t>）《危险化学品应急救援管理人员培训及考核要求》（</w:t>
      </w:r>
      <w:r>
        <w:rPr>
          <w:rFonts w:ascii="Times New Roman" w:hAnsi="Times New Roman" w:eastAsia="仿宋_GB2312" w:cs="Times New Roman"/>
          <w:sz w:val="32"/>
          <w:szCs w:val="32"/>
        </w:rPr>
        <w:t>AQ</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T3043</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2013</w:t>
      </w:r>
      <w:r>
        <w:rPr>
          <w:rFonts w:hint="eastAsia" w:ascii="仿宋_GB2312" w:hAnsi="仿宋_GB2312" w:eastAsia="仿宋_GB2312" w:cs="仿宋_GB2312"/>
          <w:sz w:val="32"/>
          <w:szCs w:val="32"/>
        </w:rPr>
        <w:t>）《危险化学品事故应急救援指挥导则》（</w:t>
      </w:r>
      <w:r>
        <w:rPr>
          <w:rFonts w:ascii="Times New Roman" w:hAnsi="Times New Roman" w:eastAsia="仿宋_GB2312" w:cs="Times New Roman"/>
          <w:sz w:val="32"/>
          <w:szCs w:val="32"/>
        </w:rPr>
        <w:t>AQ</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T3052</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2015</w:t>
      </w:r>
      <w:r>
        <w:rPr>
          <w:rFonts w:hint="eastAsia" w:ascii="仿宋_GB2312" w:hAnsi="仿宋_GB2312" w:eastAsia="仿宋_GB2312" w:cs="仿宋_GB2312"/>
          <w:sz w:val="32"/>
          <w:szCs w:val="32"/>
        </w:rPr>
        <w:t>）《柳州市危险化学品生产安全事故应急预案（</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年修订）》及其它有关法律、法规和规章，修订本预案。</w:t>
      </w:r>
    </w:p>
    <w:p>
      <w:pPr>
        <w:pStyle w:val="4"/>
        <w:spacing w:beforeAutospacing="0" w:afterAutospacing="0" w:line="560" w:lineRule="exact"/>
        <w:ind w:firstLine="640" w:firstLineChars="200"/>
        <w:rPr>
          <w:rFonts w:hint="default"/>
          <w:b w:val="0"/>
          <w:szCs w:val="32"/>
        </w:rPr>
      </w:pPr>
      <w:bookmarkStart w:id="9" w:name="_Toc8452"/>
      <w:r>
        <w:rPr>
          <w:rFonts w:hint="default" w:ascii="Times New Roman" w:hAnsi="Times New Roman"/>
          <w:b w:val="0"/>
          <w:szCs w:val="32"/>
        </w:rPr>
        <w:t>1</w:t>
      </w:r>
      <w:r>
        <w:rPr>
          <w:b w:val="0"/>
          <w:szCs w:val="32"/>
        </w:rPr>
        <w:t>.</w:t>
      </w:r>
      <w:r>
        <w:rPr>
          <w:rFonts w:hint="default" w:ascii="Times New Roman" w:hAnsi="Times New Roman"/>
          <w:b w:val="0"/>
          <w:szCs w:val="32"/>
        </w:rPr>
        <w:t>3</w:t>
      </w:r>
      <w:r>
        <w:rPr>
          <w:b w:val="0"/>
          <w:szCs w:val="32"/>
        </w:rPr>
        <w:t>适用范围</w:t>
      </w:r>
      <w:bookmarkEnd w:id="9"/>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本</w:t>
      </w:r>
      <w:r>
        <w:rPr>
          <w:rFonts w:hint="eastAsia" w:ascii="仿宋_GB2312" w:hAnsi="仿宋_GB2312" w:eastAsia="仿宋_GB2312" w:cs="仿宋_GB2312"/>
          <w:sz w:val="32"/>
          <w:szCs w:val="32"/>
        </w:rPr>
        <w:t>预案适用于我县行政区域内危险化学品生产、储存、使用、经营和运输过程中发生的下列事故应对工作：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）发生一般（Ⅳ及）危险化学品生产安全事故；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）超出乡镇人民政府应急处置能力的危险化学品生产安全事故；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）县人民政府或县应急管理局认为需要处置的危险化学品生产安全事故。</w:t>
      </w:r>
    </w:p>
    <w:p>
      <w:pPr>
        <w:spacing w:line="560" w:lineRule="exact"/>
        <w:ind w:firstLine="640" w:firstLineChars="200"/>
        <w:rPr>
          <w:rFonts w:ascii="仿宋_GB2312" w:hAnsi="仿宋_GB2312" w:eastAsia="仿宋_GB2312" w:cs="仿宋_GB2312"/>
          <w:w w:val="98"/>
          <w:sz w:val="32"/>
          <w:szCs w:val="32"/>
        </w:rPr>
      </w:pPr>
      <w:r>
        <w:rPr>
          <w:rFonts w:hint="eastAsia" w:ascii="仿宋_GB2312" w:hAnsi="仿宋_GB2312" w:eastAsia="仿宋_GB2312" w:cs="仿宋_GB2312"/>
          <w:sz w:val="32"/>
          <w:szCs w:val="32"/>
        </w:rPr>
        <w:t>危险化学品生产安全事故主要有泄漏、火灾（爆炸）、中毒。其中火灾又分为固体火灾、液体火灾和气体火灾。主要原因又分为人为操作失误和设备缺陷。针对事故不同类型，采取不同的处置措施，其中主要措施包括：灭火、点火、</w:t>
      </w:r>
      <w:r>
        <w:rPr>
          <w:rFonts w:hint="eastAsia" w:ascii="仿宋_GB2312" w:hAnsi="仿宋_GB2312" w:eastAsia="仿宋_GB2312" w:cs="仿宋_GB2312"/>
          <w:w w:val="98"/>
          <w:sz w:val="32"/>
          <w:szCs w:val="32"/>
        </w:rPr>
        <w:t>隔绝、堵漏、拦截、稀释、中和、覆盖、泄压、转移、收集等。</w:t>
      </w:r>
    </w:p>
    <w:p>
      <w:pPr>
        <w:pStyle w:val="4"/>
        <w:spacing w:beforeAutospacing="0" w:afterAutospacing="0" w:line="560" w:lineRule="exact"/>
        <w:ind w:firstLine="640" w:firstLineChars="200"/>
        <w:rPr>
          <w:rFonts w:hint="default"/>
          <w:b w:val="0"/>
          <w:szCs w:val="32"/>
        </w:rPr>
      </w:pPr>
      <w:bookmarkStart w:id="10" w:name="_Toc7882"/>
      <w:r>
        <w:rPr>
          <w:rFonts w:hint="default" w:ascii="Times New Roman" w:hAnsi="Times New Roman"/>
          <w:b w:val="0"/>
          <w:szCs w:val="32"/>
        </w:rPr>
        <w:t>1</w:t>
      </w:r>
      <w:r>
        <w:rPr>
          <w:b w:val="0"/>
          <w:szCs w:val="32"/>
        </w:rPr>
        <w:t>.</w:t>
      </w:r>
      <w:r>
        <w:rPr>
          <w:rFonts w:hint="default" w:ascii="Times New Roman" w:hAnsi="Times New Roman"/>
          <w:b w:val="0"/>
          <w:szCs w:val="32"/>
        </w:rPr>
        <w:t>4</w:t>
      </w:r>
      <w:r>
        <w:rPr>
          <w:b w:val="0"/>
          <w:szCs w:val="32"/>
        </w:rPr>
        <w:t>工作原则</w:t>
      </w:r>
      <w:bookmarkEnd w:id="1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危险化学品生产安全事故应急处置工作坚持“统一领导、分级负责；条块结合、属地为主；科学决策、规范有序；资源整合、信息共享”的原则。</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危险化学品生产安全事故应急处置工作实行</w:t>
      </w:r>
      <w:r>
        <w:rPr>
          <w:rFonts w:hint="eastAsia" w:ascii="仿宋" w:hAnsi="仿宋" w:eastAsia="仿宋" w:cs="仿宋"/>
          <w:sz w:val="32"/>
          <w:szCs w:val="32"/>
        </w:rPr>
        <w:t>县级以上地方人民政府</w:t>
      </w:r>
      <w:r>
        <w:rPr>
          <w:rFonts w:hint="eastAsia" w:ascii="仿宋_GB2312" w:hAnsi="仿宋_GB2312" w:eastAsia="仿宋_GB2312" w:cs="仿宋_GB2312"/>
          <w:sz w:val="32"/>
          <w:szCs w:val="32"/>
        </w:rPr>
        <w:t>行政首长负责制。</w:t>
      </w:r>
    </w:p>
    <w:p>
      <w:pPr>
        <w:pStyle w:val="4"/>
        <w:spacing w:beforeAutospacing="0" w:afterAutospacing="0" w:line="560" w:lineRule="exact"/>
        <w:ind w:firstLine="640" w:firstLineChars="200"/>
        <w:rPr>
          <w:rFonts w:hint="default"/>
          <w:b w:val="0"/>
          <w:szCs w:val="32"/>
        </w:rPr>
      </w:pPr>
      <w:bookmarkStart w:id="11" w:name="_Toc633"/>
      <w:r>
        <w:rPr>
          <w:rFonts w:hint="default" w:ascii="Times New Roman" w:hAnsi="Times New Roman"/>
          <w:b w:val="0"/>
          <w:szCs w:val="32"/>
        </w:rPr>
        <w:t>1</w:t>
      </w:r>
      <w:r>
        <w:rPr>
          <w:b w:val="0"/>
          <w:szCs w:val="32"/>
        </w:rPr>
        <w:t>.</w:t>
      </w:r>
      <w:r>
        <w:rPr>
          <w:rFonts w:hint="default" w:ascii="Times New Roman" w:hAnsi="Times New Roman"/>
          <w:b w:val="0"/>
          <w:szCs w:val="32"/>
        </w:rPr>
        <w:t>5</w:t>
      </w:r>
      <w:r>
        <w:rPr>
          <w:b w:val="0"/>
          <w:szCs w:val="32"/>
        </w:rPr>
        <w:t>事故分级</w:t>
      </w:r>
      <w:bookmarkEnd w:id="1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根据造成的人员伤亡或直接经济损失等，危险化学品事故分为一般（</w:t>
      </w:r>
      <w:r>
        <w:rPr>
          <w:rFonts w:ascii="Times New Roman" w:hAnsi="Times New Roman" w:eastAsia="仿宋_GB2312" w:cs="Times New Roman"/>
          <w:sz w:val="32"/>
          <w:szCs w:val="32"/>
        </w:rPr>
        <w:t>IV</w:t>
      </w:r>
      <w:r>
        <w:rPr>
          <w:rFonts w:hint="eastAsia" w:ascii="仿宋_GB2312" w:hAnsi="仿宋_GB2312" w:eastAsia="仿宋_GB2312" w:cs="仿宋_GB2312"/>
          <w:sz w:val="32"/>
          <w:szCs w:val="32"/>
        </w:rPr>
        <w:t>级）、较大（</w:t>
      </w:r>
      <w:r>
        <w:rPr>
          <w:rFonts w:ascii="Times New Roman" w:hAnsi="Times New Roman" w:eastAsia="仿宋_GB2312" w:cs="Times New Roman"/>
          <w:sz w:val="32"/>
          <w:szCs w:val="32"/>
        </w:rPr>
        <w:t>III</w:t>
      </w:r>
      <w:r>
        <w:rPr>
          <w:rFonts w:hint="eastAsia" w:ascii="仿宋_GB2312" w:hAnsi="仿宋_GB2312" w:eastAsia="仿宋_GB2312" w:cs="仿宋_GB2312"/>
          <w:sz w:val="32"/>
          <w:szCs w:val="32"/>
        </w:rPr>
        <w:t>级）、重大（</w:t>
      </w:r>
      <w:r>
        <w:rPr>
          <w:rFonts w:ascii="Times New Roman" w:hAnsi="Times New Roman" w:eastAsia="仿宋_GB2312" w:cs="Times New Roman"/>
          <w:sz w:val="32"/>
          <w:szCs w:val="32"/>
        </w:rPr>
        <w:t>II</w:t>
      </w:r>
      <w:r>
        <w:rPr>
          <w:rFonts w:hint="eastAsia" w:ascii="仿宋_GB2312" w:hAnsi="仿宋_GB2312" w:eastAsia="仿宋_GB2312" w:cs="仿宋_GB2312"/>
          <w:sz w:val="32"/>
          <w:szCs w:val="32"/>
        </w:rPr>
        <w:t>级）和特别重大（</w:t>
      </w:r>
      <w:r>
        <w:rPr>
          <w:rFonts w:ascii="Times New Roman" w:hAnsi="Times New Roman" w:eastAsia="仿宋_GB2312" w:cs="Times New Roman"/>
          <w:sz w:val="32"/>
          <w:szCs w:val="32"/>
        </w:rPr>
        <w:t>I</w:t>
      </w:r>
      <w:r>
        <w:rPr>
          <w:rFonts w:hint="eastAsia" w:ascii="仿宋_GB2312" w:hAnsi="仿宋_GB2312" w:eastAsia="仿宋_GB2312" w:cs="仿宋_GB2312"/>
          <w:sz w:val="32"/>
          <w:szCs w:val="32"/>
        </w:rPr>
        <w:t>级）四级。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）一般事故（</w:t>
      </w:r>
      <w:r>
        <w:rPr>
          <w:rFonts w:ascii="Times New Roman" w:hAnsi="Times New Roman" w:eastAsia="仿宋_GB2312" w:cs="Times New Roman"/>
          <w:sz w:val="32"/>
          <w:szCs w:val="32"/>
        </w:rPr>
        <w:t>IV</w:t>
      </w:r>
      <w:r>
        <w:rPr>
          <w:rFonts w:hint="eastAsia" w:ascii="仿宋_GB2312" w:hAnsi="仿宋_GB2312" w:eastAsia="仿宋_GB2312" w:cs="仿宋_GB2312"/>
          <w:sz w:val="32"/>
          <w:szCs w:val="32"/>
        </w:rPr>
        <w:t>级）：造成</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人以下死亡，或</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人以下重伤（包括急性工业中毒，下同），或</w:t>
      </w:r>
      <w:r>
        <w:rPr>
          <w:rFonts w:ascii="Times New Roman" w:hAnsi="Times New Roman" w:eastAsia="仿宋_GB2312" w:cs="Times New Roman"/>
          <w:sz w:val="32"/>
          <w:szCs w:val="32"/>
        </w:rPr>
        <w:t>1000</w:t>
      </w:r>
      <w:r>
        <w:rPr>
          <w:rFonts w:hint="eastAsia" w:ascii="仿宋_GB2312" w:hAnsi="仿宋_GB2312" w:eastAsia="仿宋_GB2312" w:cs="仿宋_GB2312"/>
          <w:sz w:val="32"/>
          <w:szCs w:val="32"/>
        </w:rPr>
        <w:t>万元以下直接经济损失的事故。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）较大事故（</w:t>
      </w:r>
      <w:r>
        <w:rPr>
          <w:rFonts w:ascii="Times New Roman" w:hAnsi="Times New Roman" w:eastAsia="仿宋_GB2312" w:cs="Times New Roman"/>
          <w:sz w:val="32"/>
          <w:szCs w:val="32"/>
        </w:rPr>
        <w:t>III</w:t>
      </w:r>
      <w:r>
        <w:rPr>
          <w:rFonts w:hint="eastAsia" w:ascii="仿宋_GB2312" w:hAnsi="仿宋_GB2312" w:eastAsia="仿宋_GB2312" w:cs="仿宋_GB2312"/>
          <w:sz w:val="32"/>
          <w:szCs w:val="32"/>
        </w:rPr>
        <w:t>级）：造成</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人以上</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人以下死亡，或</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人以上</w:t>
      </w:r>
      <w:r>
        <w:rPr>
          <w:rFonts w:ascii="Times New Roman" w:hAnsi="Times New Roman" w:eastAsia="仿宋_GB2312" w:cs="Times New Roman"/>
          <w:sz w:val="32"/>
          <w:szCs w:val="32"/>
        </w:rPr>
        <w:t>50</w:t>
      </w:r>
      <w:r>
        <w:rPr>
          <w:rFonts w:hint="eastAsia" w:ascii="仿宋_GB2312" w:hAnsi="仿宋_GB2312" w:eastAsia="仿宋_GB2312" w:cs="仿宋_GB2312"/>
          <w:sz w:val="32"/>
          <w:szCs w:val="32"/>
        </w:rPr>
        <w:t>人以下重伤，或</w:t>
      </w:r>
      <w:r>
        <w:rPr>
          <w:rFonts w:ascii="Times New Roman" w:hAnsi="Times New Roman" w:eastAsia="仿宋_GB2312" w:cs="Times New Roman"/>
          <w:sz w:val="32"/>
          <w:szCs w:val="32"/>
        </w:rPr>
        <w:t>1000</w:t>
      </w:r>
      <w:r>
        <w:rPr>
          <w:rFonts w:hint="eastAsia" w:ascii="仿宋_GB2312" w:hAnsi="仿宋_GB2312" w:eastAsia="仿宋_GB2312" w:cs="仿宋_GB2312"/>
          <w:sz w:val="32"/>
          <w:szCs w:val="32"/>
        </w:rPr>
        <w:t>万元以上</w:t>
      </w:r>
      <w:r>
        <w:rPr>
          <w:rFonts w:ascii="Times New Roman" w:hAnsi="Times New Roman" w:eastAsia="仿宋_GB2312" w:cs="Times New Roman"/>
          <w:sz w:val="32"/>
          <w:szCs w:val="32"/>
        </w:rPr>
        <w:t>5000</w:t>
      </w:r>
      <w:r>
        <w:rPr>
          <w:rFonts w:hint="eastAsia" w:ascii="仿宋_GB2312" w:hAnsi="仿宋_GB2312" w:eastAsia="仿宋_GB2312" w:cs="仿宋_GB2312"/>
          <w:sz w:val="32"/>
          <w:szCs w:val="32"/>
        </w:rPr>
        <w:t>万元以下直接经济损失的事故。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）重大事故（</w:t>
      </w:r>
      <w:r>
        <w:rPr>
          <w:rFonts w:ascii="Times New Roman" w:hAnsi="Times New Roman" w:eastAsia="仿宋_GB2312" w:cs="Times New Roman"/>
          <w:sz w:val="32"/>
          <w:szCs w:val="32"/>
        </w:rPr>
        <w:t>II</w:t>
      </w:r>
      <w:r>
        <w:rPr>
          <w:rFonts w:hint="eastAsia" w:ascii="仿宋_GB2312" w:hAnsi="仿宋_GB2312" w:eastAsia="仿宋_GB2312" w:cs="仿宋_GB2312"/>
          <w:sz w:val="32"/>
          <w:szCs w:val="32"/>
        </w:rPr>
        <w:t>级）：造成</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人以上</w:t>
      </w:r>
      <w:r>
        <w:rPr>
          <w:rFonts w:ascii="Times New Roman" w:hAnsi="Times New Roman" w:eastAsia="仿宋_GB2312" w:cs="Times New Roman"/>
          <w:sz w:val="32"/>
          <w:szCs w:val="32"/>
        </w:rPr>
        <w:t>30</w:t>
      </w:r>
      <w:r>
        <w:rPr>
          <w:rFonts w:hint="eastAsia" w:ascii="仿宋_GB2312" w:hAnsi="仿宋_GB2312" w:eastAsia="仿宋_GB2312" w:cs="仿宋_GB2312"/>
          <w:sz w:val="32"/>
          <w:szCs w:val="32"/>
        </w:rPr>
        <w:t>人以下死亡，或</w:t>
      </w:r>
      <w:r>
        <w:rPr>
          <w:rFonts w:ascii="Times New Roman" w:hAnsi="Times New Roman" w:eastAsia="仿宋_GB2312" w:cs="Times New Roman"/>
          <w:sz w:val="32"/>
          <w:szCs w:val="32"/>
        </w:rPr>
        <w:t>50</w:t>
      </w:r>
      <w:r>
        <w:rPr>
          <w:rFonts w:hint="eastAsia" w:ascii="仿宋_GB2312" w:hAnsi="仿宋_GB2312" w:eastAsia="仿宋_GB2312" w:cs="仿宋_GB2312"/>
          <w:sz w:val="32"/>
          <w:szCs w:val="32"/>
        </w:rPr>
        <w:t>人以上</w:t>
      </w:r>
      <w:r>
        <w:rPr>
          <w:rFonts w:ascii="Times New Roman" w:hAnsi="Times New Roman" w:eastAsia="仿宋_GB2312" w:cs="Times New Roman"/>
          <w:sz w:val="32"/>
          <w:szCs w:val="32"/>
        </w:rPr>
        <w:t>100</w:t>
      </w:r>
      <w:r>
        <w:rPr>
          <w:rFonts w:hint="eastAsia" w:ascii="仿宋_GB2312" w:hAnsi="仿宋_GB2312" w:eastAsia="仿宋_GB2312" w:cs="仿宋_GB2312"/>
          <w:sz w:val="32"/>
          <w:szCs w:val="32"/>
        </w:rPr>
        <w:t>人以下重伤，或</w:t>
      </w:r>
      <w:r>
        <w:rPr>
          <w:rFonts w:ascii="Times New Roman" w:hAnsi="Times New Roman" w:eastAsia="仿宋_GB2312" w:cs="Times New Roman"/>
          <w:sz w:val="32"/>
          <w:szCs w:val="32"/>
        </w:rPr>
        <w:t>5000</w:t>
      </w:r>
      <w:r>
        <w:rPr>
          <w:rFonts w:hint="eastAsia" w:ascii="仿宋_GB2312" w:hAnsi="仿宋_GB2312" w:eastAsia="仿宋_GB2312" w:cs="仿宋_GB2312"/>
          <w:sz w:val="32"/>
          <w:szCs w:val="32"/>
        </w:rPr>
        <w:t>万元以上</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亿元以下直接经济损失的事故。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）特别重大事故（</w:t>
      </w:r>
      <w:r>
        <w:rPr>
          <w:rFonts w:ascii="Times New Roman" w:hAnsi="Times New Roman" w:eastAsia="仿宋_GB2312" w:cs="Times New Roman"/>
          <w:sz w:val="32"/>
          <w:szCs w:val="32"/>
        </w:rPr>
        <w:t>I</w:t>
      </w:r>
      <w:r>
        <w:rPr>
          <w:rFonts w:hint="eastAsia" w:ascii="仿宋_GB2312" w:hAnsi="仿宋_GB2312" w:eastAsia="仿宋_GB2312" w:cs="仿宋_GB2312"/>
          <w:sz w:val="32"/>
          <w:szCs w:val="32"/>
        </w:rPr>
        <w:t>级）：造成</w:t>
      </w:r>
      <w:r>
        <w:rPr>
          <w:rFonts w:ascii="Times New Roman" w:hAnsi="Times New Roman" w:eastAsia="仿宋_GB2312" w:cs="Times New Roman"/>
          <w:sz w:val="32"/>
          <w:szCs w:val="32"/>
        </w:rPr>
        <w:t>30</w:t>
      </w:r>
      <w:r>
        <w:rPr>
          <w:rFonts w:hint="eastAsia" w:ascii="仿宋_GB2312" w:hAnsi="仿宋_GB2312" w:eastAsia="仿宋_GB2312" w:cs="仿宋_GB2312"/>
          <w:sz w:val="32"/>
          <w:szCs w:val="32"/>
        </w:rPr>
        <w:t>人以上死亡，或</w:t>
      </w:r>
      <w:r>
        <w:rPr>
          <w:rFonts w:ascii="Times New Roman" w:hAnsi="Times New Roman" w:eastAsia="仿宋_GB2312" w:cs="Times New Roman"/>
          <w:sz w:val="32"/>
          <w:szCs w:val="32"/>
        </w:rPr>
        <w:t>100</w:t>
      </w:r>
      <w:r>
        <w:rPr>
          <w:rFonts w:hint="eastAsia" w:ascii="仿宋_GB2312" w:hAnsi="仿宋_GB2312" w:eastAsia="仿宋_GB2312" w:cs="仿宋_GB2312"/>
          <w:sz w:val="32"/>
          <w:szCs w:val="32"/>
        </w:rPr>
        <w:t>人以上重伤，或</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亿元以上直接经济损失的事故。</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上述数量表述中，“以上”含本数，“以下”不含本数。</w:t>
      </w:r>
    </w:p>
    <w:p>
      <w:pPr>
        <w:pStyle w:val="4"/>
        <w:spacing w:beforeAutospacing="0" w:afterAutospacing="0" w:line="560" w:lineRule="exact"/>
        <w:ind w:firstLine="640" w:firstLineChars="200"/>
        <w:rPr>
          <w:rFonts w:hint="default"/>
          <w:b w:val="0"/>
          <w:szCs w:val="32"/>
        </w:rPr>
      </w:pPr>
      <w:bookmarkStart w:id="12" w:name="_Toc21851"/>
      <w:r>
        <w:rPr>
          <w:rFonts w:hint="default" w:ascii="Times New Roman" w:hAnsi="Times New Roman"/>
          <w:b w:val="0"/>
          <w:szCs w:val="32"/>
        </w:rPr>
        <w:t>1</w:t>
      </w:r>
      <w:r>
        <w:rPr>
          <w:b w:val="0"/>
          <w:szCs w:val="32"/>
        </w:rPr>
        <w:t>.</w:t>
      </w:r>
      <w:r>
        <w:rPr>
          <w:rFonts w:hint="default" w:ascii="Times New Roman" w:hAnsi="Times New Roman"/>
          <w:b w:val="0"/>
          <w:szCs w:val="32"/>
        </w:rPr>
        <w:t>6</w:t>
      </w:r>
      <w:r>
        <w:rPr>
          <w:b w:val="0"/>
          <w:szCs w:val="32"/>
        </w:rPr>
        <w:t>应急预案体系</w:t>
      </w:r>
      <w:bookmarkEnd w:id="1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）《融安县危险化学品生产安全事故应急预案》是为应对危险化学品生产安全事故而特别制定的专项应急预案，</w:t>
      </w:r>
      <w:r>
        <w:rPr>
          <w:rFonts w:hint="eastAsia" w:ascii="仿宋_GB2312" w:hAnsi="仿宋_GB2312" w:eastAsia="仿宋_GB2312" w:cs="仿宋_GB2312"/>
          <w:spacing w:val="-6"/>
          <w:sz w:val="32"/>
          <w:szCs w:val="32"/>
        </w:rPr>
        <w:t>明确规范了县级层面的应急行动，同时体现其指导性。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）各相关单位的危险化学品生产安全事故应急预案，由各负有危险化学品生产安全事故应急职责的牵头单位</w:t>
      </w:r>
      <w:bookmarkStart w:id="100" w:name="_GoBack"/>
      <w:bookmarkEnd w:id="100"/>
      <w:r>
        <w:rPr>
          <w:rFonts w:hint="eastAsia" w:ascii="仿宋_GB2312" w:hAnsi="仿宋_GB2312" w:eastAsia="仿宋_GB2312" w:cs="仿宋_GB2312"/>
          <w:sz w:val="32"/>
          <w:szCs w:val="32"/>
        </w:rPr>
        <w:t>负责制定。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）生产经营单位应按照《生产安全事故应急预案管理办法》和《生产经营单位安全生产事故应急预案编制导则》制定本单位的危险化学品生产安全事故应急预案。</w:t>
      </w:r>
    </w:p>
    <w:p>
      <w:pPr>
        <w:pStyle w:val="3"/>
        <w:spacing w:beforeAutospacing="0" w:afterAutospacing="0" w:line="560" w:lineRule="exact"/>
        <w:ind w:firstLine="640" w:firstLineChars="200"/>
        <w:rPr>
          <w:rFonts w:hint="default"/>
          <w:b w:val="0"/>
          <w:szCs w:val="32"/>
        </w:rPr>
      </w:pPr>
      <w:bookmarkStart w:id="13" w:name="_Toc25624"/>
      <w:r>
        <w:rPr>
          <w:rFonts w:hint="default" w:ascii="Times New Roman" w:hAnsi="Times New Roman"/>
          <w:b w:val="0"/>
          <w:szCs w:val="32"/>
        </w:rPr>
        <w:t>2</w:t>
      </w:r>
      <w:r>
        <w:rPr>
          <w:b w:val="0"/>
          <w:szCs w:val="32"/>
        </w:rPr>
        <w:t>组织指挥体系</w:t>
      </w:r>
      <w:bookmarkEnd w:id="13"/>
    </w:p>
    <w:p>
      <w:pPr>
        <w:pStyle w:val="4"/>
        <w:spacing w:beforeAutospacing="0" w:afterAutospacing="0" w:line="560" w:lineRule="exact"/>
        <w:ind w:firstLine="640" w:firstLineChars="200"/>
        <w:rPr>
          <w:rFonts w:hint="default"/>
          <w:b w:val="0"/>
          <w:szCs w:val="32"/>
        </w:rPr>
      </w:pPr>
      <w:bookmarkStart w:id="14" w:name="_Toc24100"/>
      <w:r>
        <w:rPr>
          <w:rFonts w:hint="default" w:ascii="Times New Roman" w:hAnsi="Times New Roman"/>
          <w:b w:val="0"/>
          <w:szCs w:val="32"/>
        </w:rPr>
        <w:t>2</w:t>
      </w:r>
      <w:r>
        <w:rPr>
          <w:b w:val="0"/>
          <w:szCs w:val="32"/>
        </w:rPr>
        <w:t>.</w:t>
      </w:r>
      <w:r>
        <w:rPr>
          <w:rFonts w:hint="default" w:ascii="Times New Roman" w:hAnsi="Times New Roman"/>
          <w:b w:val="0"/>
          <w:szCs w:val="32"/>
        </w:rPr>
        <w:t>1</w:t>
      </w:r>
      <w:r>
        <w:rPr>
          <w:b w:val="0"/>
          <w:szCs w:val="32"/>
        </w:rPr>
        <w:t>融安县层面组织指挥机构</w:t>
      </w:r>
      <w:bookmarkEnd w:id="14"/>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15" w:name="_Toc2023"/>
      <w:r>
        <w:rPr>
          <w:rFonts w:hint="default" w:ascii="Times New Roman" w:hAnsi="Times New Roman" w:eastAsia="仿宋_GB2312"/>
          <w:bCs/>
          <w:szCs w:val="32"/>
        </w:rPr>
        <w:t>2</w:t>
      </w:r>
      <w:r>
        <w:rPr>
          <w:rFonts w:ascii="仿宋_GB2312" w:hAnsi="仿宋_GB2312" w:eastAsia="仿宋_GB2312" w:cs="仿宋_GB2312"/>
          <w:bCs/>
          <w:szCs w:val="32"/>
        </w:rPr>
        <w:t>.</w:t>
      </w:r>
      <w:r>
        <w:rPr>
          <w:rFonts w:hint="default" w:ascii="Times New Roman" w:hAnsi="Times New Roman" w:eastAsia="仿宋_GB2312"/>
          <w:bCs/>
          <w:szCs w:val="32"/>
        </w:rPr>
        <w:t>1</w:t>
      </w:r>
      <w:r>
        <w:rPr>
          <w:rFonts w:ascii="仿宋_GB2312" w:hAnsi="仿宋_GB2312" w:eastAsia="仿宋_GB2312" w:cs="仿宋_GB2312"/>
          <w:bCs/>
          <w:szCs w:val="32"/>
        </w:rPr>
        <w:t>.</w:t>
      </w:r>
      <w:r>
        <w:rPr>
          <w:rFonts w:hint="default" w:ascii="Times New Roman" w:hAnsi="Times New Roman" w:eastAsia="仿宋_GB2312"/>
          <w:bCs/>
          <w:szCs w:val="32"/>
        </w:rPr>
        <w:t>1</w:t>
      </w:r>
      <w:r>
        <w:rPr>
          <w:rFonts w:ascii="仿宋_GB2312" w:hAnsi="仿宋_GB2312" w:eastAsia="仿宋_GB2312" w:cs="仿宋_GB2312"/>
          <w:bCs/>
          <w:szCs w:val="32"/>
        </w:rPr>
        <w:t>县安全生产委员会</w:t>
      </w:r>
      <w:bookmarkEnd w:id="15"/>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发生危险化学品生产安全事故，由县危险化学品生产安全事故应急救援指挥部，作为县应急指挥部，负责组织事故的应急救援行动。承担全县危险化学品生产安全事故的组织应对和指导协调工作。</w:t>
      </w:r>
    </w:p>
    <w:p>
      <w:pPr>
        <w:pStyle w:val="5"/>
        <w:spacing w:beforeAutospacing="0" w:afterAutospacing="0" w:line="560" w:lineRule="exact"/>
        <w:ind w:firstLine="642" w:firstLineChars="200"/>
        <w:rPr>
          <w:rFonts w:hint="default"/>
          <w:bCs/>
          <w:szCs w:val="32"/>
        </w:rPr>
      </w:pPr>
      <w:bookmarkStart w:id="16" w:name="_Toc25304"/>
      <w:r>
        <w:rPr>
          <w:rFonts w:hint="default" w:ascii="Times New Roman" w:hAnsi="Times New Roman"/>
          <w:bCs/>
          <w:szCs w:val="32"/>
        </w:rPr>
        <w:t>2</w:t>
      </w:r>
      <w:r>
        <w:rPr>
          <w:bCs/>
          <w:szCs w:val="32"/>
        </w:rPr>
        <w:t>.</w:t>
      </w:r>
      <w:r>
        <w:rPr>
          <w:rFonts w:hint="default" w:ascii="Times New Roman" w:hAnsi="Times New Roman"/>
          <w:bCs/>
          <w:szCs w:val="32"/>
        </w:rPr>
        <w:t>1</w:t>
      </w:r>
      <w:r>
        <w:rPr>
          <w:bCs/>
          <w:szCs w:val="32"/>
        </w:rPr>
        <w:t>.</w:t>
      </w:r>
      <w:r>
        <w:rPr>
          <w:rFonts w:hint="default" w:ascii="Times New Roman" w:hAnsi="Times New Roman"/>
          <w:bCs/>
          <w:szCs w:val="32"/>
        </w:rPr>
        <w:t>2</w:t>
      </w:r>
      <w:r>
        <w:rPr>
          <w:bCs/>
          <w:szCs w:val="32"/>
        </w:rPr>
        <w:t>县危险化学品生产安全事故应急救援指挥部人员组成及职责</w:t>
      </w:r>
      <w:bookmarkEnd w:id="1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指挥长：叶海峰副县长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副指挥长：蓝海县人民政府办公室副主任</w:t>
      </w: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覃锋县公安局副局长</w:t>
      </w: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黄科县应急管理局局长</w:t>
      </w: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事发地乡镇人民政府主要负责人。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员：县委宣传部，县机构编制委员会办公室，县发展和改革局、县教育局、县科技工贸和信息化局、县公安局、县民政局、县司法局、县财政局、县人力资源和社会保障局、县自然资源和规划局、县住房和城乡建设局、县交通运输局、县农业农村局、县文化体育广电和旅游局、县卫生健康局、县应急管理局、县市场监督管理局、县林业局、县城市管理行政执法局、县行政审批局、县水利局、柳州市融安生态环境局、县供销合作社联合社、武警柳州支队融安中队、融安县消防救援大队、县总工会、县妇女联合会、共青团融安县委员会、县气象局、邮政集团融安分公司、柳州海事局融水办事处、县公安局交通管理大队，事故单位的县主管部门和行业主管部门，电信公司融安县分公司、中国移动融安县分公司、中国联通融安县分公司，事发地乡镇人民政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县危险化学品生产安全事故应急救援指挥部办公室设在县应急管理局，办公室主任由县应急管理局局长兼任。县指挥部办公室人员由应急管理局办公室和业务监管股人员组成。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危险化学品生产安全事故应急救援指挥部职责：见附件</w:t>
      </w:r>
      <w:r>
        <w:rPr>
          <w:rFonts w:ascii="Times New Roman" w:hAnsi="Times New Roman" w:eastAsia="仿宋_GB2312" w:cs="Times New Roman"/>
          <w:sz w:val="32"/>
          <w:szCs w:val="32"/>
        </w:rPr>
        <w:t>9</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县指挥部相关职责。</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17" w:name="_Toc10632"/>
      <w:r>
        <w:rPr>
          <w:rFonts w:hint="default" w:ascii="Times New Roman" w:hAnsi="Times New Roman" w:eastAsia="仿宋_GB2312"/>
          <w:bCs/>
          <w:szCs w:val="32"/>
        </w:rPr>
        <w:t>2</w:t>
      </w:r>
      <w:r>
        <w:rPr>
          <w:rFonts w:ascii="仿宋_GB2312" w:hAnsi="仿宋_GB2312" w:eastAsia="仿宋_GB2312" w:cs="仿宋_GB2312"/>
          <w:bCs/>
          <w:szCs w:val="32"/>
        </w:rPr>
        <w:t>.</w:t>
      </w:r>
      <w:r>
        <w:rPr>
          <w:rFonts w:hint="default" w:ascii="Times New Roman" w:hAnsi="Times New Roman" w:eastAsia="仿宋_GB2312"/>
          <w:bCs/>
          <w:szCs w:val="32"/>
        </w:rPr>
        <w:t>1</w:t>
      </w:r>
      <w:r>
        <w:rPr>
          <w:rFonts w:ascii="仿宋_GB2312" w:hAnsi="仿宋_GB2312" w:eastAsia="仿宋_GB2312" w:cs="仿宋_GB2312"/>
          <w:bCs/>
          <w:szCs w:val="32"/>
        </w:rPr>
        <w:t>.</w:t>
      </w:r>
      <w:r>
        <w:rPr>
          <w:rFonts w:hint="default" w:ascii="Times New Roman" w:hAnsi="Times New Roman" w:eastAsia="仿宋_GB2312"/>
          <w:bCs/>
          <w:szCs w:val="32"/>
        </w:rPr>
        <w:t>3</w:t>
      </w:r>
      <w:r>
        <w:rPr>
          <w:rFonts w:ascii="仿宋_GB2312" w:hAnsi="仿宋_GB2312" w:eastAsia="仿宋_GB2312" w:cs="仿宋_GB2312"/>
          <w:bCs/>
          <w:szCs w:val="32"/>
        </w:rPr>
        <w:t>现场指挥部</w:t>
      </w:r>
      <w:bookmarkEnd w:id="1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危险化学品一般生产安全事故后，根据危险化学品生产安全事故应急救援工作需要，由县危险化学品生产安全事故应急救援指挥部根据事故性质和救援工作的实际，指定相关成员单位、当地政府领导和危险化学品救援专家组成现场指挥部，统一负责现场指挥。</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现场指挥部职责：见附件</w:t>
      </w:r>
      <w:r>
        <w:rPr>
          <w:rFonts w:ascii="Times New Roman" w:hAnsi="Times New Roman" w:eastAsia="仿宋_GB2312" w:cs="Times New Roman"/>
          <w:sz w:val="32"/>
          <w:szCs w:val="32"/>
        </w:rPr>
        <w:t>9</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现场指挥部的主要职责。</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18" w:name="_Toc28260"/>
      <w:r>
        <w:rPr>
          <w:rFonts w:hint="default" w:ascii="Times New Roman" w:hAnsi="Times New Roman" w:eastAsia="仿宋_GB2312"/>
          <w:bCs/>
          <w:szCs w:val="32"/>
        </w:rPr>
        <w:t>2</w:t>
      </w:r>
      <w:r>
        <w:rPr>
          <w:rFonts w:ascii="仿宋_GB2312" w:hAnsi="仿宋_GB2312" w:eastAsia="仿宋_GB2312" w:cs="仿宋_GB2312"/>
          <w:bCs/>
          <w:szCs w:val="32"/>
        </w:rPr>
        <w:t>.</w:t>
      </w:r>
      <w:r>
        <w:rPr>
          <w:rFonts w:hint="default" w:ascii="Times New Roman" w:hAnsi="Times New Roman" w:eastAsia="仿宋_GB2312"/>
          <w:bCs/>
          <w:szCs w:val="32"/>
        </w:rPr>
        <w:t>1</w:t>
      </w:r>
      <w:r>
        <w:rPr>
          <w:rFonts w:ascii="仿宋_GB2312" w:hAnsi="仿宋_GB2312" w:eastAsia="仿宋_GB2312" w:cs="仿宋_GB2312"/>
          <w:bCs/>
          <w:szCs w:val="32"/>
        </w:rPr>
        <w:t>.</w:t>
      </w:r>
      <w:r>
        <w:rPr>
          <w:rFonts w:hint="default" w:ascii="Times New Roman" w:hAnsi="Times New Roman" w:eastAsia="仿宋_GB2312"/>
          <w:bCs/>
          <w:szCs w:val="32"/>
        </w:rPr>
        <w:t>4</w:t>
      </w:r>
      <w:r>
        <w:rPr>
          <w:rFonts w:ascii="仿宋_GB2312" w:hAnsi="仿宋_GB2312" w:eastAsia="仿宋_GB2312" w:cs="仿宋_GB2312"/>
          <w:bCs/>
          <w:szCs w:val="32"/>
        </w:rPr>
        <w:t>应急工作组</w:t>
      </w:r>
      <w:bookmarkEnd w:id="1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发生危险化学品生产安全事故时，根据危险化学品生产安全事故应急救援工作需要，现场指挥部一般设立综合协调、抢险救援、警戒保卫、医疗救护、后勤保障、人员疏散安置、善后处置、新闻报道、危险物品专业处置、事故调查等</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个应急工作组，具体设立的应急工作组的数量可根据事故现状增减，具体由现场指挥部确定。各应急工作组的组成如下：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）综合协调组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由县应急管理局，事故单位的主管部门和行业主管部门，县公安局，事发地乡镇人民政府，其他相关单位等组成。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）抢险救援组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县应急管理局、县消防救援大队、县卫生健康局、县市场监督管理局、县交通运输局、事发地乡镇人民政府和专业抢险队伍等组成。根据危险化学品生产安全事故发生的不同类型、特征分别由不同部门的现场负责人任组长。其中，火灾、爆炸类事故由县消防救援大队现场负责人任组长；中毒类事故由县卫生健康局现场负责人任组长；道路运输类事故由县交通运输局现场负责人任组长；遇复杂或特殊的危险化学品事故时，由现场指挥部指定组长人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）警戒保卫组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由县公安局、县人民武装部和事发地乡镇人民政府及有关部门组成。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）医疗救护组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县卫生健康局牵头，乡镇有关医疗机构等组成。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）后勤保障组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由事发地乡镇人民政府，县发展和改革局、县科技工贸和信息化局、县财政局、县交通运输局、柳州市融安生态环境局、县气象局等单位组成。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）人员疏散安置组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由事发地乡镇人民政府，县应急管理局、县公安局、县民政局、事故单位、红十字会等组成。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）善后处置组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由事发地乡镇人民政府，由县应急管理局、县人力资源和社会保障局、县公安局、县民政局、县总工会及有关部门等组成。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8</w:t>
      </w:r>
      <w:r>
        <w:rPr>
          <w:rFonts w:hint="eastAsia" w:ascii="仿宋_GB2312" w:hAnsi="仿宋_GB2312" w:eastAsia="仿宋_GB2312" w:cs="仿宋_GB2312"/>
          <w:sz w:val="32"/>
          <w:szCs w:val="32"/>
        </w:rPr>
        <w:t>）新闻报道组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由县委宣传部，县应急管理局、县公安局和事发地乡（镇）人民政府及有关部门等参加。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9</w:t>
      </w:r>
      <w:r>
        <w:rPr>
          <w:rFonts w:hint="eastAsia" w:ascii="仿宋_GB2312" w:hAnsi="仿宋_GB2312" w:eastAsia="仿宋_GB2312" w:cs="仿宋_GB2312"/>
          <w:sz w:val="32"/>
          <w:szCs w:val="32"/>
        </w:rPr>
        <w:t>）危险物品专业处置组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由事发地乡镇人民政府，县公安局、柳州市融安生态环境局、事发单位和有关专家等组成。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）事故调查组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由县应急管理局，县公安局、县总工会、事发地乡镇人民政府等组成。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各工作组职责：见附件</w:t>
      </w:r>
      <w:r>
        <w:rPr>
          <w:rFonts w:ascii="Times New Roman" w:hAnsi="Times New Roman" w:eastAsia="仿宋_GB2312" w:cs="Times New Roman"/>
          <w:sz w:val="32"/>
          <w:szCs w:val="32"/>
        </w:rPr>
        <w:t>9</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应急工作组的主要职责。</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19" w:name="_Toc14009"/>
      <w:bookmarkStart w:id="20" w:name="_Toc11848"/>
      <w:r>
        <w:rPr>
          <w:rFonts w:hint="default" w:ascii="Times New Roman" w:hAnsi="Times New Roman" w:eastAsia="仿宋_GB2312"/>
          <w:bCs/>
          <w:szCs w:val="32"/>
        </w:rPr>
        <w:t>2</w:t>
      </w:r>
      <w:r>
        <w:rPr>
          <w:rFonts w:ascii="仿宋_GB2312" w:hAnsi="仿宋_GB2312" w:eastAsia="仿宋_GB2312" w:cs="仿宋_GB2312"/>
          <w:bCs/>
          <w:szCs w:val="32"/>
        </w:rPr>
        <w:t>.</w:t>
      </w:r>
      <w:r>
        <w:rPr>
          <w:rFonts w:hint="default" w:ascii="Times New Roman" w:hAnsi="Times New Roman" w:eastAsia="仿宋_GB2312"/>
          <w:bCs/>
          <w:szCs w:val="32"/>
        </w:rPr>
        <w:t>1</w:t>
      </w:r>
      <w:r>
        <w:rPr>
          <w:rFonts w:ascii="仿宋_GB2312" w:hAnsi="仿宋_GB2312" w:eastAsia="仿宋_GB2312" w:cs="仿宋_GB2312"/>
          <w:bCs/>
          <w:szCs w:val="32"/>
        </w:rPr>
        <w:t>.</w:t>
      </w:r>
      <w:r>
        <w:rPr>
          <w:rFonts w:hint="default" w:ascii="Times New Roman" w:hAnsi="Times New Roman" w:eastAsia="仿宋_GB2312"/>
          <w:bCs/>
          <w:szCs w:val="32"/>
        </w:rPr>
        <w:t>5</w:t>
      </w:r>
      <w:r>
        <w:rPr>
          <w:rFonts w:ascii="仿宋_GB2312" w:hAnsi="仿宋_GB2312" w:eastAsia="仿宋_GB2312" w:cs="仿宋_GB2312"/>
          <w:bCs/>
          <w:szCs w:val="32"/>
        </w:rPr>
        <w:t>专家组</w:t>
      </w:r>
      <w:bookmarkEnd w:id="19"/>
      <w:bookmarkEnd w:id="2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家组由柳州市安全生产专家库的危险化学品、事故应急与救援方面的专家或其他相关方面的专家组成。主要参与危险化学品生产安全事故救援方案研究制定；研究分析事故情况演变和救援措施，为应急救援决策提出意见和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乡镇人民政府根据本地实际,设立和组建本级生产安全事故应急指挥机构,负责组织、协调和指导本行政区域危险化学品生产安全事故的应对处置工作。</w:t>
      </w:r>
    </w:p>
    <w:p>
      <w:pPr>
        <w:pStyle w:val="3"/>
        <w:spacing w:beforeAutospacing="0" w:afterAutospacing="0" w:line="560" w:lineRule="exact"/>
        <w:ind w:firstLine="640" w:firstLineChars="200"/>
        <w:rPr>
          <w:rFonts w:hint="default"/>
          <w:b w:val="0"/>
          <w:szCs w:val="32"/>
        </w:rPr>
      </w:pPr>
      <w:bookmarkStart w:id="21" w:name="_Toc13292"/>
      <w:r>
        <w:rPr>
          <w:rFonts w:hint="default" w:ascii="Times New Roman" w:hAnsi="Times New Roman"/>
          <w:b w:val="0"/>
          <w:szCs w:val="32"/>
        </w:rPr>
        <w:t>3</w:t>
      </w:r>
      <w:r>
        <w:rPr>
          <w:b w:val="0"/>
          <w:szCs w:val="32"/>
        </w:rPr>
        <w:t>风险防控与监测预警</w:t>
      </w:r>
      <w:bookmarkEnd w:id="21"/>
    </w:p>
    <w:p>
      <w:pPr>
        <w:pStyle w:val="4"/>
        <w:spacing w:beforeAutospacing="0" w:afterAutospacing="0" w:line="560" w:lineRule="exact"/>
        <w:ind w:firstLine="640" w:firstLineChars="200"/>
        <w:rPr>
          <w:rFonts w:hint="default"/>
          <w:b w:val="0"/>
          <w:szCs w:val="32"/>
        </w:rPr>
      </w:pPr>
      <w:bookmarkStart w:id="22" w:name="_Toc10476"/>
      <w:r>
        <w:rPr>
          <w:rFonts w:hint="default" w:ascii="Times New Roman" w:hAnsi="Times New Roman"/>
          <w:b w:val="0"/>
          <w:szCs w:val="32"/>
        </w:rPr>
        <w:t>3</w:t>
      </w:r>
      <w:r>
        <w:rPr>
          <w:b w:val="0"/>
          <w:szCs w:val="32"/>
        </w:rPr>
        <w:t>.</w:t>
      </w:r>
      <w:r>
        <w:rPr>
          <w:rFonts w:hint="default" w:ascii="Times New Roman" w:hAnsi="Times New Roman"/>
          <w:b w:val="0"/>
          <w:szCs w:val="32"/>
        </w:rPr>
        <w:t>1</w:t>
      </w:r>
      <w:r>
        <w:rPr>
          <w:b w:val="0"/>
          <w:szCs w:val="32"/>
        </w:rPr>
        <w:t>风险防控</w:t>
      </w:r>
      <w:bookmarkEnd w:id="2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人民政府建立危险化学品事故风险辨识、评估和管控制度，依法对危险化学品各种风险进行辨识、评估和监控。尤其对涉及国家重点监控的危险化学品、化工工艺和危险化学品重大危险源的，必须制定危险化学品生产安全事故防控措施和危险化学品生产安全事故应急预案，责令责任单位采取安全防范措施，并建立信息共享机制，按照国家规定及时向社会公布。</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负有危险化学品安全生产管理职责的部门要依法监督危险化学品生产经营单位构建危险化学品风险分级管控和事故隐患排查治理双重预防机制，</w:t>
      </w:r>
      <w:r>
        <w:rPr>
          <w:rFonts w:hint="eastAsia" w:ascii="仿宋_GB2312" w:hAnsi="仿宋_GB2312" w:eastAsia="仿宋_GB2312" w:cs="仿宋_GB2312"/>
          <w:spacing w:val="-6"/>
          <w:sz w:val="32"/>
          <w:szCs w:val="32"/>
        </w:rPr>
        <w:t>并于每年年底对下一年度危险化学品生产安全事故发生的可能性进行研判和预测分析。</w:t>
      </w:r>
    </w:p>
    <w:p>
      <w:pPr>
        <w:pStyle w:val="4"/>
        <w:spacing w:beforeAutospacing="0" w:afterAutospacing="0" w:line="560" w:lineRule="exact"/>
        <w:ind w:firstLine="640" w:firstLineChars="200"/>
        <w:rPr>
          <w:rFonts w:hint="default"/>
          <w:b w:val="0"/>
          <w:szCs w:val="32"/>
        </w:rPr>
      </w:pPr>
      <w:bookmarkStart w:id="23" w:name="_Toc30351"/>
      <w:r>
        <w:rPr>
          <w:rFonts w:hint="default" w:ascii="Times New Roman" w:hAnsi="Times New Roman"/>
          <w:b w:val="0"/>
          <w:szCs w:val="32"/>
        </w:rPr>
        <w:t>3</w:t>
      </w:r>
      <w:r>
        <w:rPr>
          <w:b w:val="0"/>
          <w:szCs w:val="32"/>
        </w:rPr>
        <w:t>.</w:t>
      </w:r>
      <w:r>
        <w:rPr>
          <w:rFonts w:hint="default" w:ascii="Times New Roman" w:hAnsi="Times New Roman"/>
          <w:b w:val="0"/>
          <w:szCs w:val="32"/>
        </w:rPr>
        <w:t>2</w:t>
      </w:r>
      <w:r>
        <w:rPr>
          <w:b w:val="0"/>
          <w:szCs w:val="32"/>
        </w:rPr>
        <w:t>监测与预警</w:t>
      </w:r>
      <w:bookmarkEnd w:id="23"/>
    </w:p>
    <w:p>
      <w:pPr>
        <w:pStyle w:val="5"/>
        <w:spacing w:beforeAutospacing="0" w:afterAutospacing="0" w:line="560" w:lineRule="exact"/>
        <w:ind w:firstLine="642" w:firstLineChars="200"/>
        <w:rPr>
          <w:rFonts w:hint="default"/>
          <w:bCs/>
          <w:szCs w:val="32"/>
        </w:rPr>
      </w:pPr>
      <w:bookmarkStart w:id="24" w:name="_Toc28785"/>
      <w:r>
        <w:rPr>
          <w:rFonts w:hint="default" w:ascii="Times New Roman" w:hAnsi="Times New Roman"/>
          <w:bCs/>
          <w:szCs w:val="32"/>
        </w:rPr>
        <w:t>3</w:t>
      </w:r>
      <w:r>
        <w:rPr>
          <w:bCs/>
          <w:szCs w:val="32"/>
        </w:rPr>
        <w:t>.</w:t>
      </w:r>
      <w:r>
        <w:rPr>
          <w:rFonts w:hint="default" w:ascii="Times New Roman" w:hAnsi="Times New Roman"/>
          <w:bCs/>
          <w:szCs w:val="32"/>
        </w:rPr>
        <w:t>2</w:t>
      </w:r>
      <w:r>
        <w:rPr>
          <w:bCs/>
          <w:szCs w:val="32"/>
        </w:rPr>
        <w:t>.</w:t>
      </w:r>
      <w:r>
        <w:rPr>
          <w:rFonts w:hint="default" w:ascii="Times New Roman" w:hAnsi="Times New Roman"/>
          <w:bCs/>
          <w:szCs w:val="32"/>
        </w:rPr>
        <w:t>1</w:t>
      </w:r>
      <w:r>
        <w:rPr>
          <w:bCs/>
          <w:szCs w:val="32"/>
        </w:rPr>
        <w:t>监测</w:t>
      </w:r>
      <w:bookmarkEnd w:id="24"/>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县人民政府建立健全危险化学品生产安全事故隐患监测制度，整合监测信息资源，完善信息资源获取和共享机制，要根据危险化学品生产安全事故的特点，建立健全包括危险化学品生产经营单位状况在内的基础信息数据库，完善监测网络，划分监测区域，确定监测重点，明确监测项目，提供必要的设备、设施，配备专职或兼职人员，对可能发生的危险化学品生产安全事故进行监测。</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25" w:name="_Toc24673"/>
      <w:r>
        <w:rPr>
          <w:rFonts w:hint="default" w:ascii="Times New Roman" w:hAnsi="Times New Roman" w:eastAsia="仿宋_GB2312"/>
          <w:bCs/>
          <w:szCs w:val="32"/>
        </w:rPr>
        <w:t>3</w:t>
      </w:r>
      <w:r>
        <w:rPr>
          <w:rFonts w:ascii="仿宋_GB2312" w:hAnsi="仿宋_GB2312" w:eastAsia="仿宋_GB2312" w:cs="仿宋_GB2312"/>
          <w:bCs/>
          <w:szCs w:val="32"/>
        </w:rPr>
        <w:t>.</w:t>
      </w:r>
      <w:r>
        <w:rPr>
          <w:rFonts w:hint="default" w:ascii="Times New Roman" w:hAnsi="Times New Roman" w:eastAsia="仿宋_GB2312"/>
          <w:bCs/>
          <w:szCs w:val="32"/>
        </w:rPr>
        <w:t>2</w:t>
      </w:r>
      <w:r>
        <w:rPr>
          <w:rFonts w:ascii="仿宋_GB2312" w:hAnsi="仿宋_GB2312" w:eastAsia="仿宋_GB2312" w:cs="仿宋_GB2312"/>
          <w:bCs/>
          <w:szCs w:val="32"/>
        </w:rPr>
        <w:t>.</w:t>
      </w:r>
      <w:r>
        <w:rPr>
          <w:rFonts w:hint="default" w:ascii="Times New Roman" w:hAnsi="Times New Roman" w:eastAsia="仿宋_GB2312"/>
          <w:bCs/>
          <w:szCs w:val="32"/>
        </w:rPr>
        <w:t>2</w:t>
      </w:r>
      <w:r>
        <w:rPr>
          <w:rFonts w:ascii="仿宋_GB2312" w:hAnsi="仿宋_GB2312" w:eastAsia="仿宋_GB2312" w:cs="仿宋_GB2312"/>
          <w:bCs/>
          <w:szCs w:val="32"/>
        </w:rPr>
        <w:t>预警</w:t>
      </w:r>
      <w:bookmarkEnd w:id="2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）预警级别。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危险化学品生产安全事故隐患可能造成的危害程度及发展态势，将预警级别分为四级：Ⅰ级（特别重大）、Ⅱ级（重大）、Ⅲ级（较大）、Ⅳ级（一般），依次用红色、橙色、黄色和蓝色表示。各预警级别的具体划分标准与预测事故隐患可能导致的危险化学品生产安全事故分级标准相对应。</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）预警发布。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①发布主体。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红色、橙色预警由自治区危险化学品生产安全事故应急指挥部发布；黄色预警由市级危险化学品生产安全事故应急指挥机构发布；蓝色预警由县危险化学品生产安全事故应急指挥机构发布。事故隐患难以控制有引发危险化学品生产安全事故趋势等情况时,提升危险化学品生产安全事故预警级别,并由相应级别的危险化学品生产安全事故应急指挥机构进行危险化学品生产安全事故预警发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②发布程序。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Ⅳ级预警发布程序：</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A</w:t>
      </w:r>
      <w:r>
        <w:rPr>
          <w:rFonts w:hint="eastAsia" w:ascii="仿宋_GB2312" w:hAnsi="仿宋_GB2312" w:eastAsia="仿宋_GB2312" w:cs="仿宋_GB2312"/>
          <w:sz w:val="32"/>
          <w:szCs w:val="32"/>
        </w:rPr>
        <w:t>.县危险化学品生产安全事故应急救援指挥部办公室接到事故隐患报告后，经核实、分析, 符合Ⅳ级预警条件的，向县危险化学品生产安全事故应急救援指挥部提出预警发布建议。</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B</w:t>
      </w:r>
      <w:r>
        <w:rPr>
          <w:rFonts w:hint="eastAsia" w:ascii="仿宋_GB2312" w:hAnsi="仿宋_GB2312" w:eastAsia="仿宋_GB2312" w:cs="仿宋_GB2312"/>
          <w:sz w:val="32"/>
          <w:szCs w:val="32"/>
        </w:rPr>
        <w:t>.县县危险化学品生产安全事故应急救援指挥部认为需要发布Ⅳ级预警时，由县危险化学品生产安全事故应急救援指挥部指挥长或其授权人签发预警发布文件，及时对外发布警报。预警要报告县人民政府及县安全生产委员会及其办公室。预警内容应当包括：可能发生的危险化学品生产安全事故类别、预警起始时间、预警区域或场所、预警级别、影响估计、警示事项、预警预防措施及工作要求、发布机关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③发布方式。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信息的发布和调整可通过广播、通信、信息网络、警报器、宣传车、大喇叭或组织人员逐户通知等方式进行，对老、幼、病、残、孕等特殊人群以及学校等特殊场所和警报盲区，应当采取有针对性的通知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）预警响应措施。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发布危险化学品生产安全事故预警信息后，有关单位要根据危险化学品生产安全事故预警级别和实际情况以及分级负责的原则，采取下列一项或多项措施：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①提升监测力度，及时收集报告有关信息，组织力量分析研判发展态势；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②加强公众沟通，公布信息接收和咨询电话，向社会公告采取的有关特定措施、避免或减轻危害的建议和劝告；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③组织应急救援队伍和负有特定职责的人员进入待命状态，动员后备人员做好参加应急处置和救援工作的准备，酌情预置有关队伍、装备、物资等应急资源；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④调集应急处置和救援所需物资、设备、工具，准备应急设施和避难场所，并确保其处于良好状态、随时可以投入使用；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⑤加强对重点单位、重要部位和重要基础设施的安全保卫，维护社会治安秩序；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⑥采取必要措施，确保交通、通信、供水、排水、供电、供气、供热等公共设施的安全和正常运行；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⑦转移、疏散或者撤离易受事故危害的人员并予以妥善安置，转移重要财产；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⑧关闭或者限制使用易受事故危害的场所，控制或者限制容易导致危害扩大的公共场所的活动。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）预警解除。</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当可能导致危险化学品生产安全事故的因素已经消除时，发布危险化学品生产安全事故预警的人民政府或有关部门宣布解除预警，终止预警期，解除已经采取的有关措施。</w:t>
      </w:r>
    </w:p>
    <w:p>
      <w:pPr>
        <w:pStyle w:val="3"/>
        <w:spacing w:beforeAutospacing="0" w:afterAutospacing="0" w:line="560" w:lineRule="exact"/>
        <w:ind w:firstLine="640" w:firstLineChars="200"/>
        <w:rPr>
          <w:rFonts w:hint="default"/>
          <w:b w:val="0"/>
          <w:szCs w:val="32"/>
        </w:rPr>
      </w:pPr>
      <w:bookmarkStart w:id="26" w:name="_Toc9727"/>
      <w:r>
        <w:rPr>
          <w:rFonts w:hint="default" w:ascii="Times New Roman" w:hAnsi="Times New Roman"/>
          <w:b w:val="0"/>
          <w:szCs w:val="32"/>
        </w:rPr>
        <w:t>4</w:t>
      </w:r>
      <w:r>
        <w:rPr>
          <w:b w:val="0"/>
          <w:szCs w:val="32"/>
        </w:rPr>
        <w:t>运行机制</w:t>
      </w:r>
      <w:bookmarkEnd w:id="26"/>
    </w:p>
    <w:p>
      <w:pPr>
        <w:pStyle w:val="4"/>
        <w:spacing w:beforeAutospacing="0" w:afterAutospacing="0" w:line="560" w:lineRule="exact"/>
        <w:ind w:firstLine="640" w:firstLineChars="200"/>
        <w:rPr>
          <w:rFonts w:hint="default"/>
          <w:b w:val="0"/>
          <w:szCs w:val="32"/>
        </w:rPr>
      </w:pPr>
      <w:bookmarkStart w:id="27" w:name="_Toc19015"/>
      <w:r>
        <w:rPr>
          <w:rFonts w:hint="default" w:ascii="Times New Roman" w:hAnsi="Times New Roman"/>
          <w:b w:val="0"/>
          <w:szCs w:val="32"/>
        </w:rPr>
        <w:t>4</w:t>
      </w:r>
      <w:r>
        <w:rPr>
          <w:b w:val="0"/>
          <w:szCs w:val="32"/>
        </w:rPr>
        <w:t>.</w:t>
      </w:r>
      <w:r>
        <w:rPr>
          <w:rFonts w:hint="default" w:ascii="Times New Roman" w:hAnsi="Times New Roman"/>
          <w:b w:val="0"/>
          <w:szCs w:val="32"/>
        </w:rPr>
        <w:t>1</w:t>
      </w:r>
      <w:r>
        <w:rPr>
          <w:b w:val="0"/>
          <w:szCs w:val="32"/>
        </w:rPr>
        <w:t>事故信息报告</w:t>
      </w:r>
      <w:bookmarkEnd w:id="27"/>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28" w:name="_Toc7603"/>
      <w:r>
        <w:rPr>
          <w:rFonts w:hint="default" w:ascii="Times New Roman" w:hAnsi="Times New Roman" w:eastAsia="仿宋_GB2312"/>
          <w:bCs/>
          <w:szCs w:val="32"/>
        </w:rPr>
        <w:t>4</w:t>
      </w:r>
      <w:r>
        <w:rPr>
          <w:rFonts w:ascii="仿宋_GB2312" w:hAnsi="仿宋_GB2312" w:eastAsia="仿宋_GB2312" w:cs="仿宋_GB2312"/>
          <w:bCs/>
          <w:szCs w:val="32"/>
        </w:rPr>
        <w:t>.</w:t>
      </w:r>
      <w:r>
        <w:rPr>
          <w:rFonts w:hint="default" w:ascii="Times New Roman" w:hAnsi="Times New Roman" w:eastAsia="仿宋_GB2312"/>
          <w:bCs/>
          <w:szCs w:val="32"/>
        </w:rPr>
        <w:t>1</w:t>
      </w:r>
      <w:r>
        <w:rPr>
          <w:rFonts w:ascii="仿宋_GB2312" w:hAnsi="仿宋_GB2312" w:eastAsia="仿宋_GB2312" w:cs="仿宋_GB2312"/>
          <w:bCs/>
          <w:szCs w:val="32"/>
        </w:rPr>
        <w:t>.</w:t>
      </w:r>
      <w:r>
        <w:rPr>
          <w:rFonts w:hint="default" w:ascii="Times New Roman" w:hAnsi="Times New Roman" w:eastAsia="仿宋_GB2312"/>
          <w:bCs/>
          <w:szCs w:val="32"/>
        </w:rPr>
        <w:t>1</w:t>
      </w:r>
      <w:r>
        <w:rPr>
          <w:rFonts w:ascii="仿宋_GB2312" w:hAnsi="仿宋_GB2312" w:eastAsia="仿宋_GB2312" w:cs="仿宋_GB2312"/>
          <w:bCs/>
          <w:szCs w:val="32"/>
        </w:rPr>
        <w:t>信息报告程序</w:t>
      </w:r>
      <w:bookmarkEnd w:id="2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危险化学品生产安全事故发生后，事故发生单位应</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个小时内向县应急管理局和负有应急管理职责的有关部门报告事故情况。县应急管理局应当立即核实有关情况并报告县人民政府。初判为发生较大、重大、特别重大危险化学品生产安全事故，县人民政府、县应急管理局应在第一时间内分别向市人民政府和市应急管理局报告。每级上报时限不得超过</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个小时。情况特别紧急或重大时，可越级上报。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对首报时要素不齐全或事件衍生出新情况、处置工作有新进展的要及时续报，重大、特别重大危险化学品生产安全事故处置信息至少每日一报。处置结束后要及时终报。</w:t>
      </w:r>
    </w:p>
    <w:p>
      <w:pPr>
        <w:pStyle w:val="5"/>
        <w:spacing w:beforeAutospacing="0" w:afterAutospacing="0" w:line="560" w:lineRule="exact"/>
        <w:ind w:firstLine="642" w:firstLineChars="200"/>
        <w:rPr>
          <w:rFonts w:hint="default"/>
          <w:bCs/>
          <w:szCs w:val="32"/>
        </w:rPr>
      </w:pPr>
      <w:bookmarkStart w:id="29" w:name="_Toc17301"/>
      <w:r>
        <w:rPr>
          <w:rFonts w:hint="default" w:ascii="Times New Roman" w:hAnsi="Times New Roman"/>
          <w:bCs/>
          <w:szCs w:val="32"/>
        </w:rPr>
        <w:t>4</w:t>
      </w:r>
      <w:r>
        <w:rPr>
          <w:bCs/>
          <w:szCs w:val="32"/>
        </w:rPr>
        <w:t>.</w:t>
      </w:r>
      <w:r>
        <w:rPr>
          <w:rFonts w:hint="default" w:ascii="Times New Roman" w:hAnsi="Times New Roman"/>
          <w:bCs/>
          <w:szCs w:val="32"/>
        </w:rPr>
        <w:t>1</w:t>
      </w:r>
      <w:r>
        <w:rPr>
          <w:bCs/>
          <w:szCs w:val="32"/>
        </w:rPr>
        <w:t>.</w:t>
      </w:r>
      <w:r>
        <w:rPr>
          <w:rFonts w:hint="default" w:ascii="Times New Roman" w:hAnsi="Times New Roman"/>
          <w:bCs/>
          <w:szCs w:val="32"/>
        </w:rPr>
        <w:t>2</w:t>
      </w:r>
      <w:r>
        <w:rPr>
          <w:bCs/>
          <w:szCs w:val="32"/>
        </w:rPr>
        <w:t>信息报告内容</w:t>
      </w:r>
      <w:bookmarkEnd w:id="29"/>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事故信息报告主要内容包括：事故发生时间、地点、事故基本情况、初步原因、初判等级；事故简要经过、直接经济损失、伤亡及被困人数；已采取的处置措施及进展、是否需要增援；报告人姓名、职务、联系方式。</w:t>
      </w:r>
    </w:p>
    <w:p>
      <w:pPr>
        <w:pStyle w:val="5"/>
        <w:spacing w:beforeAutospacing="0" w:afterAutospacing="0" w:line="560" w:lineRule="exact"/>
        <w:ind w:firstLine="642" w:firstLineChars="200"/>
        <w:rPr>
          <w:rFonts w:hint="default"/>
          <w:bCs/>
          <w:szCs w:val="32"/>
        </w:rPr>
      </w:pPr>
      <w:bookmarkStart w:id="30" w:name="_Toc3758"/>
      <w:r>
        <w:rPr>
          <w:rFonts w:hint="default" w:ascii="Times New Roman" w:hAnsi="Times New Roman"/>
          <w:bCs/>
          <w:szCs w:val="32"/>
        </w:rPr>
        <w:t>4</w:t>
      </w:r>
      <w:r>
        <w:rPr>
          <w:bCs/>
          <w:szCs w:val="32"/>
        </w:rPr>
        <w:t>.</w:t>
      </w:r>
      <w:r>
        <w:rPr>
          <w:rFonts w:hint="default" w:ascii="Times New Roman" w:hAnsi="Times New Roman"/>
          <w:bCs/>
          <w:szCs w:val="32"/>
        </w:rPr>
        <w:t>1</w:t>
      </w:r>
      <w:r>
        <w:rPr>
          <w:bCs/>
          <w:szCs w:val="32"/>
        </w:rPr>
        <w:t>.</w:t>
      </w:r>
      <w:r>
        <w:rPr>
          <w:rFonts w:hint="default" w:ascii="Times New Roman" w:hAnsi="Times New Roman"/>
          <w:bCs/>
          <w:szCs w:val="32"/>
        </w:rPr>
        <w:t>3</w:t>
      </w:r>
      <w:r>
        <w:rPr>
          <w:bCs/>
          <w:szCs w:val="32"/>
        </w:rPr>
        <w:t>信息发布</w:t>
      </w:r>
      <w:bookmarkEnd w:id="3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危险化学品生产安全事故的信息发布严格执行国务院和自治区人民政府的有关规定。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危险化学品生产安全事故发生后，由事发地乡镇人民政府的宣传部门及时、准确发布事故信息，通报有关危险化学品生产安全事故的信息、采取的应急措施、救援工作的情况、存在的困难、下一步工作安排等，适时掌握社会舆论动向，主动、正确引导社会舆论，维护公众知情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）对于跨乡镇、涉及部门较多、影响较大的事故，由县委宣传部协调主流媒体及时发布事故信息。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）铁路、水路危险化学品运输事故应急救援情况需要向社会通报时，由铁路、水路应急部门负责。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）各新闻媒体必须坚持新闻报道原则，加强对新闻从业人员的培训，充分发挥舆论宣传的正面引导作用。</w:t>
      </w:r>
    </w:p>
    <w:p>
      <w:pPr>
        <w:pStyle w:val="4"/>
        <w:spacing w:beforeAutospacing="0" w:afterAutospacing="0" w:line="560" w:lineRule="exact"/>
        <w:ind w:firstLine="640" w:firstLineChars="200"/>
        <w:rPr>
          <w:rFonts w:hint="default"/>
          <w:b w:val="0"/>
          <w:szCs w:val="32"/>
        </w:rPr>
      </w:pPr>
      <w:bookmarkStart w:id="31" w:name="_Toc24469"/>
      <w:r>
        <w:rPr>
          <w:rFonts w:hint="default" w:ascii="Times New Roman" w:hAnsi="Times New Roman"/>
          <w:b w:val="0"/>
          <w:szCs w:val="32"/>
        </w:rPr>
        <w:t>4</w:t>
      </w:r>
      <w:r>
        <w:rPr>
          <w:b w:val="0"/>
          <w:szCs w:val="32"/>
        </w:rPr>
        <w:t>.</w:t>
      </w:r>
      <w:r>
        <w:rPr>
          <w:rFonts w:hint="default" w:ascii="Times New Roman" w:hAnsi="Times New Roman"/>
          <w:b w:val="0"/>
          <w:szCs w:val="32"/>
        </w:rPr>
        <w:t>2</w:t>
      </w:r>
      <w:r>
        <w:rPr>
          <w:b w:val="0"/>
          <w:szCs w:val="32"/>
        </w:rPr>
        <w:t>应急响应</w:t>
      </w:r>
      <w:bookmarkEnd w:id="31"/>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32" w:name="_Toc23804"/>
      <w:r>
        <w:rPr>
          <w:rFonts w:hint="default" w:ascii="Times New Roman" w:hAnsi="Times New Roman" w:eastAsia="仿宋_GB2312"/>
          <w:bCs/>
          <w:szCs w:val="32"/>
        </w:rPr>
        <w:t>4</w:t>
      </w:r>
      <w:r>
        <w:rPr>
          <w:rFonts w:ascii="仿宋_GB2312" w:hAnsi="仿宋_GB2312" w:eastAsia="仿宋_GB2312" w:cs="仿宋_GB2312"/>
          <w:bCs/>
          <w:szCs w:val="32"/>
        </w:rPr>
        <w:t>.</w:t>
      </w:r>
      <w:r>
        <w:rPr>
          <w:rFonts w:hint="default" w:ascii="Times New Roman" w:hAnsi="Times New Roman" w:eastAsia="仿宋_GB2312"/>
          <w:bCs/>
          <w:szCs w:val="32"/>
        </w:rPr>
        <w:t>2</w:t>
      </w:r>
      <w:r>
        <w:rPr>
          <w:rFonts w:ascii="仿宋_GB2312" w:hAnsi="仿宋_GB2312" w:eastAsia="仿宋_GB2312" w:cs="仿宋_GB2312"/>
          <w:bCs/>
          <w:szCs w:val="32"/>
        </w:rPr>
        <w:t>.</w:t>
      </w:r>
      <w:r>
        <w:rPr>
          <w:rFonts w:hint="default" w:ascii="Times New Roman" w:hAnsi="Times New Roman" w:eastAsia="仿宋_GB2312"/>
          <w:bCs/>
          <w:szCs w:val="32"/>
        </w:rPr>
        <w:t>1</w:t>
      </w:r>
      <w:r>
        <w:rPr>
          <w:rFonts w:ascii="仿宋_GB2312" w:hAnsi="仿宋_GB2312" w:eastAsia="仿宋_GB2312" w:cs="仿宋_GB2312"/>
          <w:bCs/>
          <w:szCs w:val="32"/>
        </w:rPr>
        <w:t>响应分级</w:t>
      </w:r>
      <w:bookmarkEnd w:id="32"/>
    </w:p>
    <w:p>
      <w:pPr>
        <w:pStyle w:val="5"/>
        <w:spacing w:beforeAutospacing="0" w:afterAutospacing="0" w:line="560" w:lineRule="exact"/>
        <w:ind w:firstLine="640" w:firstLineChars="200"/>
        <w:rPr>
          <w:rFonts w:hint="default" w:ascii="仿宋_GB2312" w:hAnsi="仿宋_GB2312" w:eastAsia="仿宋_GB2312" w:cs="仿宋_GB2312"/>
          <w:b w:val="0"/>
          <w:kern w:val="2"/>
          <w:szCs w:val="32"/>
        </w:rPr>
      </w:pPr>
      <w:bookmarkStart w:id="33" w:name="_Toc13674"/>
      <w:bookmarkStart w:id="34" w:name="_Toc16488"/>
      <w:r>
        <w:rPr>
          <w:rFonts w:ascii="仿宋_GB2312" w:hAnsi="仿宋_GB2312" w:eastAsia="仿宋_GB2312" w:cs="仿宋_GB2312"/>
          <w:b w:val="0"/>
          <w:kern w:val="2"/>
          <w:szCs w:val="32"/>
        </w:rPr>
        <w:t>危险化学品生产安全事故发生后，县有关部门,根据生产安全事故初判级别、应急处置能力以及预期影响后果，综合研判确定本层级响应级别。对于事故本身比较敏感，或发生在重点地区或重大活动举办、重要会议召开等敏感时期的，可适当提高响应级别。应急响应启动后，可视危险化学品生产安全事故发展情况及时对响应级别进行调整。避免响应不足或响应过度。</w:t>
      </w:r>
      <w:bookmarkEnd w:id="33"/>
      <w:bookmarkEnd w:id="34"/>
    </w:p>
    <w:p>
      <w:pPr>
        <w:pStyle w:val="5"/>
        <w:spacing w:beforeAutospacing="0" w:afterAutospacing="0" w:line="560" w:lineRule="exact"/>
        <w:ind w:firstLine="640" w:firstLineChars="200"/>
        <w:rPr>
          <w:rFonts w:hint="default" w:ascii="仿宋" w:hAnsi="仿宋" w:cs="仿宋"/>
          <w:b w:val="0"/>
          <w:szCs w:val="32"/>
        </w:rPr>
      </w:pPr>
      <w:bookmarkStart w:id="35" w:name="_Toc16239"/>
      <w:bookmarkStart w:id="36" w:name="_Toc379"/>
      <w:r>
        <w:rPr>
          <w:rFonts w:ascii="仿宋_GB2312" w:hAnsi="仿宋_GB2312" w:eastAsia="仿宋_GB2312" w:cs="仿宋_GB2312"/>
          <w:b w:val="0"/>
          <w:kern w:val="2"/>
          <w:szCs w:val="32"/>
        </w:rPr>
        <w:t>县级层面应急响应一般由高到低分为四级：一级、二级、三级、四级。原则上，一级响应由县委、县人民政府主要负责同志组织指导协调，必要时组织指挥; 二级响应由县委、县人民政府指定的负责同志组织指导协调；三级响应由县应急管理局负责同志组织指导协调；四级响应由县应急管理局分管负责同志组织指导协调。启动一级响应由县委、县人民政府决定，启动二级响应由县领导同志决定，启动三级响应、四级响应由县应急管理局决定。对涉及面广、敏感复杂或处置不当会引发严重后果的一般突发事件，根据应对工作需要，可启动县级层面相应级别应急响应。</w:t>
      </w:r>
      <w:bookmarkEnd w:id="35"/>
      <w:bookmarkEnd w:id="36"/>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37" w:name="_Toc20965"/>
      <w:r>
        <w:rPr>
          <w:rFonts w:hint="default" w:ascii="Times New Roman" w:hAnsi="Times New Roman" w:eastAsia="仿宋_GB2312"/>
          <w:bCs/>
          <w:szCs w:val="32"/>
        </w:rPr>
        <w:t>4</w:t>
      </w:r>
      <w:r>
        <w:rPr>
          <w:rFonts w:ascii="仿宋_GB2312" w:hAnsi="仿宋_GB2312" w:eastAsia="仿宋_GB2312" w:cs="仿宋_GB2312"/>
          <w:bCs/>
          <w:szCs w:val="32"/>
        </w:rPr>
        <w:t>.</w:t>
      </w:r>
      <w:r>
        <w:rPr>
          <w:rFonts w:hint="default" w:ascii="Times New Roman" w:hAnsi="Times New Roman" w:eastAsia="仿宋_GB2312"/>
          <w:bCs/>
          <w:szCs w:val="32"/>
        </w:rPr>
        <w:t>2</w:t>
      </w:r>
      <w:r>
        <w:rPr>
          <w:rFonts w:ascii="仿宋_GB2312" w:hAnsi="仿宋_GB2312" w:eastAsia="仿宋_GB2312" w:cs="仿宋_GB2312"/>
          <w:bCs/>
          <w:szCs w:val="32"/>
        </w:rPr>
        <w:t>.</w:t>
      </w:r>
      <w:r>
        <w:rPr>
          <w:rFonts w:hint="default" w:ascii="Times New Roman" w:hAnsi="Times New Roman" w:eastAsia="仿宋_GB2312"/>
          <w:bCs/>
          <w:szCs w:val="32"/>
        </w:rPr>
        <w:t>2</w:t>
      </w:r>
      <w:r>
        <w:rPr>
          <w:rFonts w:ascii="仿宋_GB2312" w:hAnsi="仿宋_GB2312" w:eastAsia="仿宋_GB2312" w:cs="仿宋_GB2312"/>
          <w:bCs/>
          <w:szCs w:val="32"/>
        </w:rPr>
        <w:t>响应程序</w:t>
      </w:r>
      <w:bookmarkEnd w:id="3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县级层面危险化学品生产安全事故响应原则上按如下标准启动响应：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）四级响应。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在单一乡镇级行政区的Ⅳ级危险化学品生产安全事故时,县应急管理局有关股室应密切跟踪动态，收集事故信息，提出启动四级响应的意见和方案，报县应急管理局分管负责同志决定启动四级应急响应，对乡镇人民政府提出的请求申请，帮助协调解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）三级响应。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在跨两个乡镇级行政区域的Ⅳ级危险化学品生产安全事故时，县应急管理局有关股室应收集事故信息，提出启动三级响应的意见和方案，报县应急管理局负责同志决定启动三级应急响应，派出应急专家组协助当地乡镇人民政府应急处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故超出事发地乡镇人民政府处置能力的，县危险化学品生产安全事故应急救援指挥部办公室向县危险化学品生产安全事故应急救援指挥部报告，县危险化学品生产安全事故应急救援指挥部派出工作组，指导、协调事发地乡镇人民政府组织应急处置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）二级响应。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严重的Ⅳ级危险化学品生产安全事故时，县应急管理局经分析评估，认定事故程度达到启动二级响应标准后，向县人民政府分管安全生产的领导提出启动二级应急响应的建议，由分管安全生产的领导决定进入二级响应状态，并采取以下步骤：</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①由县危险化学品生产安全事故应急救援指挥部办公室上报市人民政府及市有关部门。</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②向县危险化学品生产安全事故应急救援指挥部成员单位和</w:t>
      </w:r>
      <w:r>
        <w:rPr>
          <w:rFonts w:hint="eastAsia" w:ascii="仿宋" w:hAnsi="仿宋" w:eastAsia="仿宋" w:cs="仿宋"/>
          <w:sz w:val="32"/>
          <w:szCs w:val="32"/>
        </w:rPr>
        <w:t>事发地人民政府</w:t>
      </w:r>
      <w:r>
        <w:rPr>
          <w:rFonts w:hint="eastAsia" w:ascii="仿宋_GB2312" w:hAnsi="仿宋_GB2312" w:eastAsia="仿宋_GB2312" w:cs="仿宋_GB2312"/>
          <w:sz w:val="32"/>
          <w:szCs w:val="32"/>
        </w:rPr>
        <w:t>发出二级响应通知，要求</w:t>
      </w:r>
      <w:r>
        <w:rPr>
          <w:rFonts w:hint="eastAsia" w:ascii="仿宋" w:hAnsi="仿宋" w:eastAsia="仿宋" w:cs="仿宋"/>
          <w:sz w:val="32"/>
          <w:szCs w:val="32"/>
        </w:rPr>
        <w:t>当地人民政府</w:t>
      </w:r>
      <w:r>
        <w:rPr>
          <w:rFonts w:hint="eastAsia" w:ascii="仿宋_GB2312" w:hAnsi="仿宋_GB2312" w:eastAsia="仿宋_GB2312" w:cs="仿宋_GB2312"/>
          <w:sz w:val="32"/>
          <w:szCs w:val="32"/>
        </w:rPr>
        <w:t>迅速开展抢险救援，开展先期处置工作。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③召开县危险化学品生产安全事故应急救援指挥部成员单位紧急会议，研究部署应急救援工作。</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④县危险化学品生产安全事故应急救援指挥部各成员单位根据工作安排，派出人员赶赴事故地区，按照本预案要求迅速组建各应急工作组。应急工作组与部门研究制订工作组处置工作方案，明确任务，细化分工，并调集队伍、物资、装备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）一级响应。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Ⅰ级、Ⅱ级、Ⅲ级危险化学品生产安全事故时，县应急管理局经分析评估，认定危险化学品生产安全事故为特别重大级别时，向县人民政府提出启动一级应急响应的建议，由县人民政府指定的负责同志决定进入一级响应状态，并按以下步骤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①由县人民政府和县危险化学品生产安全事故应急救援指挥部分别上报市级人民政府及有关部门。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②向县危险化学品生产安全事故应急救援指挥部成员单位和事发地乡镇人民政府发出一级响应通知，事发地人民政府迅速开展抢险救援，开展先期处置工作。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③召开县危险化学品生产安全事故应急救援指挥部成员单位紧急会议，研究部署应急救援工作。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县危险化学品生产安全事故应急救援指挥部各成员单位根据工作安排，派出人员赶赴事故地区，按照本预案迅速组建各应急工作组。应急工作组牵头部门召集部门研究制订工作组处置工作方案，明确任务，细化分工，并调集队伍、物资、装备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⑤涉及跨越县行政区域、超出县人民政府处置能力或者需要由上级人民政府负责协调和处置的，报请上级人民政府进行紧急支援，或由上级人民政府或相关部门负责组织指挥。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⑥做好配合上级指挥机构或工作组工作的相关准备。</w:t>
      </w:r>
    </w:p>
    <w:p>
      <w:pPr>
        <w:pStyle w:val="4"/>
        <w:spacing w:beforeAutospacing="0" w:afterAutospacing="0" w:line="560" w:lineRule="exact"/>
        <w:ind w:firstLine="640" w:firstLineChars="200"/>
        <w:rPr>
          <w:rFonts w:hint="default"/>
          <w:b w:val="0"/>
          <w:szCs w:val="32"/>
        </w:rPr>
      </w:pPr>
      <w:bookmarkStart w:id="38" w:name="_Toc2448"/>
      <w:r>
        <w:rPr>
          <w:rFonts w:hint="default" w:ascii="Times New Roman" w:hAnsi="Times New Roman"/>
          <w:b w:val="0"/>
          <w:szCs w:val="32"/>
        </w:rPr>
        <w:t>4</w:t>
      </w:r>
      <w:r>
        <w:rPr>
          <w:b w:val="0"/>
          <w:szCs w:val="32"/>
        </w:rPr>
        <w:t>.</w:t>
      </w:r>
      <w:r>
        <w:rPr>
          <w:rFonts w:hint="default" w:ascii="Times New Roman" w:hAnsi="Times New Roman"/>
          <w:b w:val="0"/>
          <w:szCs w:val="32"/>
        </w:rPr>
        <w:t>3</w:t>
      </w:r>
      <w:r>
        <w:rPr>
          <w:b w:val="0"/>
          <w:szCs w:val="32"/>
        </w:rPr>
        <w:t>应急处置与救援</w:t>
      </w:r>
      <w:bookmarkEnd w:id="38"/>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39" w:name="_Toc31832"/>
      <w:r>
        <w:rPr>
          <w:rFonts w:hint="default" w:ascii="Times New Roman" w:hAnsi="Times New Roman" w:eastAsia="仿宋_GB2312"/>
          <w:bCs/>
          <w:szCs w:val="32"/>
        </w:rPr>
        <w:t>4</w:t>
      </w:r>
      <w:r>
        <w:rPr>
          <w:rFonts w:hint="default" w:ascii="仿宋_GB2312" w:hAnsi="仿宋_GB2312" w:eastAsia="仿宋_GB2312" w:cs="仿宋_GB2312"/>
          <w:bCs/>
          <w:szCs w:val="32"/>
        </w:rPr>
        <w:t>.</w:t>
      </w:r>
      <w:r>
        <w:rPr>
          <w:rFonts w:hint="default" w:ascii="Times New Roman" w:hAnsi="Times New Roman" w:eastAsia="仿宋_GB2312"/>
          <w:bCs/>
          <w:szCs w:val="32"/>
        </w:rPr>
        <w:t>3</w:t>
      </w:r>
      <w:r>
        <w:rPr>
          <w:rFonts w:hint="default" w:ascii="仿宋_GB2312" w:hAnsi="仿宋_GB2312" w:eastAsia="仿宋_GB2312" w:cs="仿宋_GB2312"/>
          <w:bCs/>
          <w:szCs w:val="32"/>
        </w:rPr>
        <w:t>.</w:t>
      </w:r>
      <w:r>
        <w:rPr>
          <w:rFonts w:hint="default" w:ascii="Times New Roman" w:hAnsi="Times New Roman" w:eastAsia="仿宋_GB2312"/>
          <w:bCs/>
          <w:szCs w:val="32"/>
        </w:rPr>
        <w:t>1</w:t>
      </w:r>
      <w:r>
        <w:rPr>
          <w:rFonts w:hint="default" w:ascii="仿宋_GB2312" w:hAnsi="仿宋_GB2312" w:eastAsia="仿宋_GB2312" w:cs="仿宋_GB2312"/>
          <w:bCs/>
          <w:szCs w:val="32"/>
        </w:rPr>
        <w:t>先期处置</w:t>
      </w:r>
      <w:bookmarkEnd w:id="3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发生危险化学品生产安全事故或险情后，事发单位应当立即按危险化学品生产安全事故应急预案规定启动应急响应，在确保安全的前提下，采取下列一项或者多项应急救援措施，并按照国家有关规定报告事故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①迅速控制危险源，组织抢救遇险人员；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②根据事故危害程度，组织现场人员撤离或者采取可能的应急措施后撤离；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③及时通知可能受到事故影响的单位和人员；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④采取必要措施，防止事故危害扩大和次生、衍生灾害发生；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⑤根据需要请求邻近的应急救援队伍参加救援，并向参加救援的应急救援队伍提供相关技术资料、信息和处置方法；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⑥维护事故现场秩序，保护事故现场和相关证据；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⑦法律、法规规定的其他应急救援措施。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按照属地原则，接到危险化学品生产安全事故信息报告后，事发地乡镇人民政府和有关部门应当立即进行核实，并按有关规定上报危险化学品生产安全事故情况，启动应急响应，派出负责人员迅速赶赴事故现场，组织开展先期处置。可采取下列一项或者多项应急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①发布危险或避险警告；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②划定警戒区域，采取必要的管制措施；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③实施紧急疏散和救援行动，组织群众开展自救互救；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④紧急调配应急资源，到达事故现场；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⑤实施动态监测，密切关注事态发展；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⑥及时按有关规定上报危险化学品生产安全事故现场情况，并提出应急处置建议和支持请求，同时向波及或可能波及的相关区域通报情况；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⑦法律、法规规定的其他必要的措施。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危险化学品生产安全事故发生地乡镇人民政府及有关部门接到事故报告后，相关负责同志要立即赶赴事故现场，按照本应急预案规定，成立事故应急处置现场指挥部，代表本级人民政府履行事故应急处置职责，组织开展事故应急处置工作。</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事发地有关单位、各类安全生产应急救援队伍接到</w:t>
      </w:r>
      <w:r>
        <w:rPr>
          <w:rFonts w:hint="eastAsia" w:ascii="仿宋" w:hAnsi="仿宋" w:eastAsia="仿宋" w:cs="仿宋"/>
          <w:sz w:val="32"/>
          <w:szCs w:val="32"/>
        </w:rPr>
        <w:t>有关人民政府</w:t>
      </w:r>
      <w:r>
        <w:rPr>
          <w:rFonts w:hint="eastAsia" w:ascii="仿宋_GB2312" w:hAnsi="仿宋_GB2312" w:eastAsia="仿宋_GB2312" w:cs="仿宋_GB2312"/>
          <w:sz w:val="32"/>
          <w:szCs w:val="32"/>
        </w:rPr>
        <w:t>及有关部门的应急救援指令或有关企业的请求后，应当及时出动参加事故救援。</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40" w:name="_Toc25044"/>
      <w:r>
        <w:rPr>
          <w:rFonts w:hint="default" w:ascii="Times New Roman" w:hAnsi="Times New Roman" w:eastAsia="仿宋_GB2312"/>
          <w:bCs/>
          <w:szCs w:val="32"/>
        </w:rPr>
        <w:t>4</w:t>
      </w:r>
      <w:r>
        <w:rPr>
          <w:rFonts w:hint="default" w:ascii="仿宋_GB2312" w:hAnsi="仿宋_GB2312" w:eastAsia="仿宋_GB2312" w:cs="仿宋_GB2312"/>
          <w:bCs/>
          <w:szCs w:val="32"/>
        </w:rPr>
        <w:t>.</w:t>
      </w:r>
      <w:r>
        <w:rPr>
          <w:rFonts w:hint="default" w:ascii="Times New Roman" w:hAnsi="Times New Roman" w:eastAsia="仿宋_GB2312"/>
          <w:bCs/>
          <w:szCs w:val="32"/>
        </w:rPr>
        <w:t>3</w:t>
      </w:r>
      <w:r>
        <w:rPr>
          <w:rFonts w:hint="default" w:ascii="仿宋_GB2312" w:hAnsi="仿宋_GB2312" w:eastAsia="仿宋_GB2312" w:cs="仿宋_GB2312"/>
          <w:bCs/>
          <w:szCs w:val="32"/>
        </w:rPr>
        <w:t>.</w:t>
      </w:r>
      <w:r>
        <w:rPr>
          <w:rFonts w:hint="default" w:ascii="Times New Roman" w:hAnsi="Times New Roman" w:eastAsia="仿宋_GB2312"/>
          <w:bCs/>
          <w:szCs w:val="32"/>
        </w:rPr>
        <w:t>2</w:t>
      </w:r>
      <w:r>
        <w:rPr>
          <w:rFonts w:hint="default" w:ascii="仿宋_GB2312" w:hAnsi="仿宋_GB2312" w:eastAsia="仿宋_GB2312" w:cs="仿宋_GB2312"/>
          <w:bCs/>
          <w:szCs w:val="32"/>
        </w:rPr>
        <w:t>指挥协调</w:t>
      </w:r>
      <w:bookmarkEnd w:id="40"/>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）组织指挥。</w:t>
      </w:r>
      <w:r>
        <w:rPr>
          <w:rFonts w:hint="eastAsia" w:ascii="仿宋" w:hAnsi="仿宋" w:eastAsia="仿宋" w:cs="仿宋"/>
          <w:sz w:val="32"/>
          <w:szCs w:val="32"/>
        </w:rPr>
        <w:t>上级人民政府</w:t>
      </w:r>
      <w:r>
        <w:rPr>
          <w:rFonts w:hint="eastAsia" w:ascii="仿宋_GB2312" w:hAnsi="仿宋_GB2312" w:eastAsia="仿宋_GB2312" w:cs="仿宋_GB2312"/>
          <w:sz w:val="32"/>
          <w:szCs w:val="32"/>
        </w:rPr>
        <w:t>及相应部门指导下级人民政府及相应部门开展应对工作。</w:t>
      </w:r>
      <w:r>
        <w:rPr>
          <w:rFonts w:hint="eastAsia" w:ascii="仿宋" w:hAnsi="仿宋" w:eastAsia="仿宋" w:cs="仿宋"/>
          <w:sz w:val="32"/>
          <w:szCs w:val="32"/>
        </w:rPr>
        <w:t>上级组织指挥机构</w:t>
      </w:r>
      <w:r>
        <w:rPr>
          <w:rFonts w:hint="eastAsia" w:ascii="仿宋_GB2312" w:hAnsi="仿宋_GB2312" w:eastAsia="仿宋_GB2312" w:cs="仿宋_GB2312"/>
          <w:sz w:val="32"/>
          <w:szCs w:val="32"/>
        </w:rPr>
        <w:t>设立后，</w:t>
      </w:r>
      <w:r>
        <w:rPr>
          <w:rFonts w:hint="eastAsia" w:ascii="仿宋" w:hAnsi="仿宋" w:eastAsia="仿宋" w:cs="仿宋"/>
          <w:sz w:val="32"/>
          <w:szCs w:val="32"/>
        </w:rPr>
        <w:t>下级组织指挥机构</w:t>
      </w:r>
      <w:r>
        <w:rPr>
          <w:rFonts w:hint="eastAsia" w:ascii="仿宋_GB2312" w:hAnsi="仿宋_GB2312" w:eastAsia="仿宋_GB2312" w:cs="仿宋_GB2312"/>
          <w:sz w:val="32"/>
          <w:szCs w:val="32"/>
        </w:rPr>
        <w:t>按照上级组织指挥机构的要求做好危险化学品生产安全事故应急处置与救援有关工作。县人民政府对本行政区域内各类危险化学品生产安全事故应对负有属地管理责任，要切实负起应对危险化学品生产安全事故的责任，按照上级人民政府要求组织实施危险化学品生产安全应急处置与救援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各级组织指挥机构按照前述分级应对与响应分级原则分别负责相应各级危险化学品生产安全事故应急组织指挥。超出事发地人民政府处置能力的，上一级人民政府根据事发地人民政府的请求或根据应对工作需要，指挥权可逐级提升至市组织指挥机构。</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）现场指挥。</w:t>
      </w:r>
      <w:r>
        <w:rPr>
          <w:rFonts w:hint="eastAsia" w:ascii="仿宋" w:hAnsi="仿宋" w:eastAsia="仿宋" w:cs="仿宋"/>
          <w:sz w:val="32"/>
          <w:szCs w:val="32"/>
        </w:rPr>
        <w:t>上级人民政府</w:t>
      </w:r>
      <w:r>
        <w:rPr>
          <w:rFonts w:hint="eastAsia" w:ascii="仿宋_GB2312" w:hAnsi="仿宋_GB2312" w:eastAsia="仿宋_GB2312" w:cs="仿宋_GB2312"/>
          <w:sz w:val="32"/>
          <w:szCs w:val="32"/>
        </w:rPr>
        <w:t>设立危险化学品生产安全事故现场指挥机构的，</w:t>
      </w:r>
      <w:r>
        <w:rPr>
          <w:rFonts w:hint="eastAsia" w:ascii="仿宋" w:hAnsi="仿宋" w:eastAsia="仿宋" w:cs="仿宋"/>
          <w:sz w:val="32"/>
          <w:szCs w:val="32"/>
        </w:rPr>
        <w:t>下级人民政府</w:t>
      </w:r>
      <w:r>
        <w:rPr>
          <w:rFonts w:hint="eastAsia" w:ascii="仿宋_GB2312" w:hAnsi="仿宋_GB2312" w:eastAsia="仿宋_GB2312" w:cs="仿宋_GB2312"/>
          <w:sz w:val="32"/>
          <w:szCs w:val="32"/>
        </w:rPr>
        <w:t>的危险化学品生产安全事故组织指挥机构应纳入上级危险化学品生产安全事故现场指挥机构，在上级危险化学品生产安全事故现场指挥机构的统一领导下组织开展危险化学品生产安全事故应对工作。在现场的各方面危险化学品生产安全事故应急力量要在危险化学品生产安全事故现场指挥机构的统一指挥协调下开展应急处置与救援工作。危险化学品生产安全事故现场指挥机构要开设统一的危险化学品生产安全事故救援队伍集结点、物资接收点和分发点、新闻发布中心，并提供必要的后勤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当上级工作组在现场时，县现场指挥机构要与其对接并接受业务指导，做好相应的保障工作。</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协同联动。中国人民解放军、武警部队、国家综合性消防救援队伍在履行应对职责的人民政府的统一领导下参与危险化学品生产安全事故应急处置和救援，按规定的指挥关系和指挥权限指挥。社会组织参与危险化学品生产安全事故应急处置与救援，纳入现场指挥机构统一管理、统一调动、统一行动。县各级危险化学品生产安全事故应急指挥机构根据事故现场实际情况，及时调度指挥相关应急资源开展应急处置与救援行动。现场所有应急力量要服从现场指挥机构的统一指挥协调，严格遵守交通管理、信息发布等工作要求，及时报告工作情况，实现各方信息共享。</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41" w:name="_Toc5714"/>
      <w:r>
        <w:rPr>
          <w:rFonts w:hint="default" w:ascii="Times New Roman" w:hAnsi="Times New Roman" w:eastAsia="仿宋_GB2312"/>
          <w:bCs/>
          <w:szCs w:val="32"/>
        </w:rPr>
        <w:t>4</w:t>
      </w:r>
      <w:r>
        <w:rPr>
          <w:rFonts w:hint="default" w:ascii="仿宋_GB2312" w:hAnsi="仿宋_GB2312" w:eastAsia="仿宋_GB2312" w:cs="仿宋_GB2312"/>
          <w:bCs/>
          <w:szCs w:val="32"/>
        </w:rPr>
        <w:t>.</w:t>
      </w:r>
      <w:r>
        <w:rPr>
          <w:rFonts w:hint="default" w:ascii="Times New Roman" w:hAnsi="Times New Roman" w:eastAsia="仿宋_GB2312"/>
          <w:bCs/>
          <w:szCs w:val="32"/>
        </w:rPr>
        <w:t>3</w:t>
      </w:r>
      <w:r>
        <w:rPr>
          <w:rFonts w:hint="default" w:ascii="仿宋_GB2312" w:hAnsi="仿宋_GB2312" w:eastAsia="仿宋_GB2312" w:cs="仿宋_GB2312"/>
          <w:bCs/>
          <w:szCs w:val="32"/>
        </w:rPr>
        <w:t>.</w:t>
      </w:r>
      <w:r>
        <w:rPr>
          <w:rFonts w:hint="default" w:ascii="Times New Roman" w:hAnsi="Times New Roman" w:eastAsia="仿宋_GB2312"/>
          <w:bCs/>
          <w:szCs w:val="32"/>
        </w:rPr>
        <w:t>3</w:t>
      </w:r>
      <w:r>
        <w:rPr>
          <w:rFonts w:hint="default" w:ascii="仿宋_GB2312" w:hAnsi="仿宋_GB2312" w:eastAsia="仿宋_GB2312" w:cs="仿宋_GB2312"/>
          <w:bCs/>
          <w:szCs w:val="32"/>
        </w:rPr>
        <w:t>处置措施</w:t>
      </w:r>
      <w:bookmarkEnd w:id="4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发生危险化学品生产安全事故，现场指挥部应尽可能采取下列一项或者多项应急处置措施：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）组织营救和救治受害人员，疏散、撤离并妥善安置受到威胁的人员以及采取其他救助措施；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）迅速控制危险源，标明危险区域，封锁危险场所，划定警戒区，实行交通管制以及其他控制措施；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）立即抢修被损坏的交通、通信、供水、排水、供电、供气、供热等公共设施，向受到危害的人员提供避难场所和生活必需品，实施医疗救护以及其他保障措施；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在易燃易爆危险化学品生产安全事故现场，应禁止或者限制使用能产生静电、火花的有关设备、设施，关闭或者限制使用有关场所，中止人员密集的活动或者可能导致危害扩大的生产经营活动以及采取其他保护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）采取防止发生次生、衍生事件的必要措施。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危险化学品安全生产事故应急处置要点，见附件</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42" w:name="_Toc11956"/>
      <w:r>
        <w:rPr>
          <w:rFonts w:hint="default" w:ascii="Times New Roman" w:hAnsi="Times New Roman" w:eastAsia="仿宋_GB2312"/>
          <w:bCs/>
          <w:szCs w:val="32"/>
        </w:rPr>
        <w:t>4</w:t>
      </w:r>
      <w:r>
        <w:rPr>
          <w:rFonts w:hint="default" w:ascii="仿宋_GB2312" w:hAnsi="仿宋_GB2312" w:eastAsia="仿宋_GB2312" w:cs="仿宋_GB2312"/>
          <w:bCs/>
          <w:szCs w:val="32"/>
        </w:rPr>
        <w:t>.</w:t>
      </w:r>
      <w:r>
        <w:rPr>
          <w:rFonts w:hint="default" w:ascii="Times New Roman" w:hAnsi="Times New Roman" w:eastAsia="仿宋_GB2312"/>
          <w:bCs/>
          <w:szCs w:val="32"/>
        </w:rPr>
        <w:t>3</w:t>
      </w:r>
      <w:r>
        <w:rPr>
          <w:rFonts w:hint="default" w:ascii="仿宋_GB2312" w:hAnsi="仿宋_GB2312" w:eastAsia="仿宋_GB2312" w:cs="仿宋_GB2312"/>
          <w:bCs/>
          <w:szCs w:val="32"/>
        </w:rPr>
        <w:t>.</w:t>
      </w:r>
      <w:r>
        <w:rPr>
          <w:rFonts w:hint="default" w:ascii="Times New Roman" w:hAnsi="Times New Roman" w:eastAsia="仿宋_GB2312"/>
          <w:bCs/>
          <w:szCs w:val="32"/>
        </w:rPr>
        <w:t>4</w:t>
      </w:r>
      <w:r>
        <w:rPr>
          <w:rFonts w:hint="default" w:ascii="仿宋_GB2312" w:hAnsi="仿宋_GB2312" w:eastAsia="仿宋_GB2312" w:cs="仿宋_GB2312"/>
          <w:bCs/>
          <w:szCs w:val="32"/>
        </w:rPr>
        <w:t>救援暂停和终止</w:t>
      </w:r>
      <w:bookmarkEnd w:id="42"/>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对于继续救援直接威胁救援人员生命安全、极易造成次生衍生事故等情况，现场指挥部要组织专家充分论证，作出暂停救援的决定；在事故现场被困人员得到解救，受伤人员得到安排救治，对人员、财产、环境的危害已基本控制和消除，现场险情得以完全排除，环境符合有关标准，导致次生、衍生事故的隐患消除后，经现场指挥部确认，由县危险化学品生产安全事故应急救援指挥部指挥长宣布应急结束，应急救援队伍撤离现场</w:t>
      </w:r>
      <w:r>
        <w:rPr>
          <w:rFonts w:hint="eastAsia" w:ascii="仿宋" w:hAnsi="仿宋" w:eastAsia="仿宋" w:cs="仿宋"/>
          <w:sz w:val="32"/>
          <w:szCs w:val="32"/>
        </w:rPr>
        <w:t>。</w:t>
      </w:r>
    </w:p>
    <w:p>
      <w:pPr>
        <w:pStyle w:val="4"/>
        <w:spacing w:beforeAutospacing="0" w:afterAutospacing="0" w:line="560" w:lineRule="exact"/>
        <w:ind w:firstLine="640" w:firstLineChars="200"/>
        <w:rPr>
          <w:rFonts w:hint="default"/>
          <w:b w:val="0"/>
          <w:szCs w:val="32"/>
        </w:rPr>
      </w:pPr>
      <w:bookmarkStart w:id="43" w:name="_Toc21995"/>
      <w:r>
        <w:rPr>
          <w:rFonts w:hint="default" w:ascii="Times New Roman" w:hAnsi="Times New Roman"/>
          <w:b w:val="0"/>
          <w:szCs w:val="32"/>
        </w:rPr>
        <w:t>4</w:t>
      </w:r>
      <w:r>
        <w:rPr>
          <w:b w:val="0"/>
          <w:szCs w:val="32"/>
        </w:rPr>
        <w:t>.</w:t>
      </w:r>
      <w:r>
        <w:rPr>
          <w:rFonts w:hint="default" w:ascii="Times New Roman" w:hAnsi="Times New Roman"/>
          <w:b w:val="0"/>
          <w:szCs w:val="32"/>
        </w:rPr>
        <w:t>4</w:t>
      </w:r>
      <w:r>
        <w:rPr>
          <w:b w:val="0"/>
          <w:szCs w:val="32"/>
        </w:rPr>
        <w:t>后期处置</w:t>
      </w:r>
      <w:bookmarkEnd w:id="43"/>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44" w:name="_Toc6496"/>
      <w:r>
        <w:rPr>
          <w:rFonts w:hint="default" w:ascii="Times New Roman" w:hAnsi="Times New Roman" w:eastAsia="仿宋_GB2312"/>
          <w:bCs/>
          <w:szCs w:val="32"/>
        </w:rPr>
        <w:t>4</w:t>
      </w:r>
      <w:r>
        <w:rPr>
          <w:rFonts w:hint="default" w:ascii="仿宋_GB2312" w:hAnsi="仿宋_GB2312" w:eastAsia="仿宋_GB2312" w:cs="仿宋_GB2312"/>
          <w:bCs/>
          <w:szCs w:val="32"/>
        </w:rPr>
        <w:t>.</w:t>
      </w:r>
      <w:r>
        <w:rPr>
          <w:rFonts w:hint="default" w:ascii="Times New Roman" w:hAnsi="Times New Roman" w:eastAsia="仿宋_GB2312"/>
          <w:bCs/>
          <w:szCs w:val="32"/>
        </w:rPr>
        <w:t>4</w:t>
      </w:r>
      <w:r>
        <w:rPr>
          <w:rFonts w:hint="default" w:ascii="仿宋_GB2312" w:hAnsi="仿宋_GB2312" w:eastAsia="仿宋_GB2312" w:cs="仿宋_GB2312"/>
          <w:bCs/>
          <w:szCs w:val="32"/>
        </w:rPr>
        <w:t>.</w:t>
      </w:r>
      <w:r>
        <w:rPr>
          <w:rFonts w:hint="default" w:ascii="Times New Roman" w:hAnsi="Times New Roman" w:eastAsia="仿宋_GB2312"/>
          <w:bCs/>
          <w:szCs w:val="32"/>
        </w:rPr>
        <w:t>1</w:t>
      </w:r>
      <w:r>
        <w:rPr>
          <w:rFonts w:hint="default" w:ascii="仿宋_GB2312" w:hAnsi="仿宋_GB2312" w:eastAsia="仿宋_GB2312" w:cs="仿宋_GB2312"/>
          <w:bCs/>
          <w:szCs w:val="32"/>
        </w:rPr>
        <w:t>善后处置</w:t>
      </w:r>
      <w:bookmarkEnd w:id="4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发地乡镇人民政府协助县人民政府及相关部门负责组织危险化学品生产安全事故的善后处置工作（包括人员安置、救济、抚恤，征用物资补偿、保险理赔、灾后重建、污染物收集处理、现场清理与处置等事项），尽快消除危险化学品生产安全事故影响，妥善安置慰问受害及受影响人员，尽快恢复正常秩序，确保社会稳定。较大、重大、特别重大危险化学品生产安全事故由市人民政府组织实施善后处置工作。</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环境监测及危险化学品检测机构负责对水源、空气、土壤等样品就地实行分析处理，及时检测出毒物的种类和浓度，并计算出扩散范围等应急救援所需的各种数据，以确定污染区域范围，并对事故造成的环境影响进行评估。</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45" w:name="_Toc17700"/>
      <w:r>
        <w:rPr>
          <w:rFonts w:hint="default" w:ascii="Times New Roman" w:hAnsi="Times New Roman" w:eastAsia="仿宋_GB2312"/>
          <w:bCs/>
          <w:szCs w:val="32"/>
        </w:rPr>
        <w:t>4</w:t>
      </w:r>
      <w:r>
        <w:rPr>
          <w:rFonts w:hint="default" w:ascii="仿宋_GB2312" w:hAnsi="仿宋_GB2312" w:eastAsia="仿宋_GB2312" w:cs="仿宋_GB2312"/>
          <w:bCs/>
          <w:szCs w:val="32"/>
        </w:rPr>
        <w:t>.</w:t>
      </w:r>
      <w:r>
        <w:rPr>
          <w:rFonts w:hint="default" w:ascii="Times New Roman" w:hAnsi="Times New Roman" w:eastAsia="仿宋_GB2312"/>
          <w:bCs/>
          <w:szCs w:val="32"/>
        </w:rPr>
        <w:t>4</w:t>
      </w:r>
      <w:r>
        <w:rPr>
          <w:rFonts w:hint="default" w:ascii="仿宋_GB2312" w:hAnsi="仿宋_GB2312" w:eastAsia="仿宋_GB2312" w:cs="仿宋_GB2312"/>
          <w:bCs/>
          <w:szCs w:val="32"/>
        </w:rPr>
        <w:t>.</w:t>
      </w:r>
      <w:r>
        <w:rPr>
          <w:rFonts w:hint="default" w:ascii="Times New Roman" w:hAnsi="Times New Roman" w:eastAsia="仿宋_GB2312"/>
          <w:bCs/>
          <w:szCs w:val="32"/>
        </w:rPr>
        <w:t>2</w:t>
      </w:r>
      <w:r>
        <w:rPr>
          <w:rFonts w:hint="default" w:ascii="仿宋_GB2312" w:hAnsi="仿宋_GB2312" w:eastAsia="仿宋_GB2312" w:cs="仿宋_GB2312"/>
          <w:bCs/>
          <w:szCs w:val="32"/>
        </w:rPr>
        <w:t>事故调查</w:t>
      </w:r>
      <w:bookmarkEnd w:id="4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特别重大危险化学品生产安全事故按照《生产安全事故报告和调查处理条例》（国务院 </w:t>
      </w:r>
      <w:r>
        <w:rPr>
          <w:rFonts w:ascii="Times New Roman" w:hAnsi="Times New Roman" w:eastAsia="仿宋_GB2312" w:cs="Times New Roman"/>
          <w:sz w:val="32"/>
          <w:szCs w:val="32"/>
        </w:rPr>
        <w:t>493</w:t>
      </w:r>
      <w:r>
        <w:rPr>
          <w:rFonts w:hint="eastAsia" w:ascii="仿宋_GB2312" w:hAnsi="仿宋_GB2312" w:eastAsia="仿宋_GB2312" w:cs="仿宋_GB2312"/>
          <w:sz w:val="32"/>
          <w:szCs w:val="32"/>
        </w:rPr>
        <w:t xml:space="preserve"> 号令）由国务院负责组成调查组进行调查，自治区有关部门、单位根据国务院调查组的要求派员配合调查。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重大危险化学品生产安全事故按《生产安全事故报告和调查处理条例》（国务院 </w:t>
      </w:r>
      <w:r>
        <w:rPr>
          <w:rFonts w:ascii="Times New Roman" w:hAnsi="Times New Roman" w:eastAsia="仿宋_GB2312" w:cs="Times New Roman"/>
          <w:sz w:val="32"/>
          <w:szCs w:val="32"/>
        </w:rPr>
        <w:t>493</w:t>
      </w:r>
      <w:r>
        <w:rPr>
          <w:rFonts w:hint="eastAsia" w:ascii="仿宋_GB2312" w:hAnsi="仿宋_GB2312" w:eastAsia="仿宋_GB2312" w:cs="仿宋_GB2312"/>
          <w:sz w:val="32"/>
          <w:szCs w:val="32"/>
        </w:rPr>
        <w:t xml:space="preserve"> 号令）的规定由自治区人民政府或授权有关部门牵头组成调查组开展事故调查。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较大危险化学品生产安全事故按《生产安全事故报告和调查处理条例》（国务院 </w:t>
      </w:r>
      <w:r>
        <w:rPr>
          <w:rFonts w:ascii="Times New Roman" w:hAnsi="Times New Roman" w:eastAsia="仿宋_GB2312" w:cs="Times New Roman"/>
          <w:sz w:val="32"/>
          <w:szCs w:val="32"/>
        </w:rPr>
        <w:t>493</w:t>
      </w:r>
      <w:r>
        <w:rPr>
          <w:rFonts w:hint="eastAsia" w:ascii="仿宋_GB2312" w:hAnsi="仿宋_GB2312" w:eastAsia="仿宋_GB2312" w:cs="仿宋_GB2312"/>
          <w:sz w:val="32"/>
          <w:szCs w:val="32"/>
        </w:rPr>
        <w:t xml:space="preserve"> 号令）的规定由市人民政府或授权有关部门牵头组成调查组开展事故调查。</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 xml:space="preserve">一般危险化学品生产安全事故按《生产安全事故报告和调查处理条例》（国务院 </w:t>
      </w:r>
      <w:r>
        <w:rPr>
          <w:rFonts w:ascii="Times New Roman" w:hAnsi="Times New Roman" w:eastAsia="仿宋_GB2312" w:cs="Times New Roman"/>
          <w:sz w:val="32"/>
          <w:szCs w:val="32"/>
        </w:rPr>
        <w:t>493</w:t>
      </w:r>
      <w:r>
        <w:rPr>
          <w:rFonts w:hint="eastAsia" w:ascii="仿宋_GB2312" w:hAnsi="仿宋_GB2312" w:eastAsia="仿宋_GB2312" w:cs="仿宋_GB2312"/>
          <w:sz w:val="32"/>
          <w:szCs w:val="32"/>
        </w:rPr>
        <w:t xml:space="preserve"> 号令）的规定由县人民政府或授权有关部门牵头组成调查组开展事故调查。</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46" w:name="_Toc15134"/>
      <w:r>
        <w:rPr>
          <w:rFonts w:hint="default" w:ascii="Times New Roman" w:hAnsi="Times New Roman" w:eastAsia="仿宋_GB2312"/>
          <w:bCs/>
          <w:szCs w:val="32"/>
        </w:rPr>
        <w:t>4</w:t>
      </w:r>
      <w:r>
        <w:rPr>
          <w:rFonts w:hint="default" w:ascii="仿宋_GB2312" w:hAnsi="仿宋_GB2312" w:eastAsia="仿宋_GB2312" w:cs="仿宋_GB2312"/>
          <w:bCs/>
          <w:szCs w:val="32"/>
        </w:rPr>
        <w:t>.</w:t>
      </w:r>
      <w:r>
        <w:rPr>
          <w:rFonts w:hint="default" w:ascii="Times New Roman" w:hAnsi="Times New Roman" w:eastAsia="仿宋_GB2312"/>
          <w:bCs/>
          <w:szCs w:val="32"/>
        </w:rPr>
        <w:t>4</w:t>
      </w:r>
      <w:r>
        <w:rPr>
          <w:rFonts w:hint="default" w:ascii="仿宋_GB2312" w:hAnsi="仿宋_GB2312" w:eastAsia="仿宋_GB2312" w:cs="仿宋_GB2312"/>
          <w:bCs/>
          <w:szCs w:val="32"/>
        </w:rPr>
        <w:t>.</w:t>
      </w:r>
      <w:r>
        <w:rPr>
          <w:rFonts w:hint="default" w:ascii="Times New Roman" w:hAnsi="Times New Roman" w:eastAsia="仿宋_GB2312"/>
          <w:bCs/>
          <w:szCs w:val="32"/>
        </w:rPr>
        <w:t>3</w:t>
      </w:r>
      <w:r>
        <w:rPr>
          <w:rFonts w:hint="default" w:ascii="仿宋_GB2312" w:hAnsi="仿宋_GB2312" w:eastAsia="仿宋_GB2312" w:cs="仿宋_GB2312"/>
          <w:bCs/>
          <w:szCs w:val="32"/>
        </w:rPr>
        <w:t>总结评估</w:t>
      </w:r>
      <w:bookmarkEnd w:id="4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事故应急处置工作结束后，对事故处置过程进行评估，总结经验教训，分析查找问题，提出改进措施，形成应急处置总结评估报告。</w:t>
      </w:r>
    </w:p>
    <w:p>
      <w:pPr>
        <w:pStyle w:val="3"/>
        <w:spacing w:beforeAutospacing="0" w:afterAutospacing="0" w:line="560" w:lineRule="exact"/>
        <w:ind w:firstLine="640" w:firstLineChars="200"/>
        <w:rPr>
          <w:rFonts w:hint="default"/>
          <w:b w:val="0"/>
          <w:szCs w:val="32"/>
        </w:rPr>
      </w:pPr>
      <w:bookmarkStart w:id="47" w:name="_Toc6734"/>
      <w:r>
        <w:rPr>
          <w:rFonts w:hint="default" w:ascii="Times New Roman" w:hAnsi="Times New Roman"/>
          <w:b w:val="0"/>
          <w:szCs w:val="32"/>
        </w:rPr>
        <w:t>5</w:t>
      </w:r>
      <w:r>
        <w:rPr>
          <w:b w:val="0"/>
          <w:szCs w:val="32"/>
        </w:rPr>
        <w:t>准备与支付</w:t>
      </w:r>
      <w:bookmarkEnd w:id="47"/>
    </w:p>
    <w:p>
      <w:pPr>
        <w:pStyle w:val="4"/>
        <w:spacing w:beforeAutospacing="0" w:afterAutospacing="0" w:line="560" w:lineRule="exact"/>
        <w:ind w:firstLine="640" w:firstLineChars="200"/>
        <w:rPr>
          <w:rFonts w:hint="default"/>
          <w:b w:val="0"/>
          <w:szCs w:val="32"/>
        </w:rPr>
      </w:pPr>
      <w:bookmarkStart w:id="48" w:name="_Toc29337"/>
      <w:r>
        <w:rPr>
          <w:rFonts w:hint="default" w:ascii="Times New Roman" w:hAnsi="Times New Roman"/>
          <w:b w:val="0"/>
          <w:szCs w:val="32"/>
        </w:rPr>
        <w:t>5</w:t>
      </w:r>
      <w:r>
        <w:rPr>
          <w:b w:val="0"/>
          <w:szCs w:val="32"/>
        </w:rPr>
        <w:t>.</w:t>
      </w:r>
      <w:r>
        <w:rPr>
          <w:rFonts w:hint="default" w:ascii="Times New Roman" w:hAnsi="Times New Roman"/>
          <w:b w:val="0"/>
          <w:szCs w:val="32"/>
        </w:rPr>
        <w:t>1</w:t>
      </w:r>
      <w:r>
        <w:rPr>
          <w:b w:val="0"/>
          <w:szCs w:val="32"/>
        </w:rPr>
        <w:t>队伍准备</w:t>
      </w:r>
      <w:bookmarkEnd w:id="4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有关部门要加强危险化学品应急救援队伍建设，定期组织开展训练和演练。乡镇人民政府要根据辖区事故情况，建立一支本级财政供养或依托企业、人民政府扶持的应急救援队伍，并保持队伍的战斗力，确保辖区发生危险化学品生产安全事故时有专业队伍救援。</w:t>
      </w:r>
    </w:p>
    <w:p>
      <w:pPr>
        <w:pStyle w:val="4"/>
        <w:spacing w:beforeAutospacing="0" w:afterAutospacing="0" w:line="560" w:lineRule="exact"/>
        <w:ind w:firstLine="640" w:firstLineChars="200"/>
        <w:rPr>
          <w:rFonts w:hint="default"/>
          <w:b w:val="0"/>
          <w:szCs w:val="32"/>
        </w:rPr>
      </w:pPr>
      <w:bookmarkStart w:id="49" w:name="_Toc7319"/>
      <w:r>
        <w:rPr>
          <w:rFonts w:hint="default" w:ascii="Times New Roman" w:hAnsi="Times New Roman"/>
          <w:b w:val="0"/>
          <w:szCs w:val="32"/>
        </w:rPr>
        <w:t>5</w:t>
      </w:r>
      <w:r>
        <w:rPr>
          <w:b w:val="0"/>
          <w:szCs w:val="32"/>
        </w:rPr>
        <w:t>.</w:t>
      </w:r>
      <w:r>
        <w:rPr>
          <w:rFonts w:hint="default" w:ascii="Times New Roman" w:hAnsi="Times New Roman"/>
          <w:b w:val="0"/>
          <w:szCs w:val="32"/>
        </w:rPr>
        <w:t>2</w:t>
      </w:r>
      <w:r>
        <w:rPr>
          <w:b w:val="0"/>
          <w:szCs w:val="32"/>
        </w:rPr>
        <w:t>财力支持</w:t>
      </w:r>
      <w:bookmarkEnd w:id="49"/>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县各有关单位要将危险化学品生产安全事故现场应急</w:t>
      </w:r>
      <w:r>
        <w:rPr>
          <w:rFonts w:hint="eastAsia" w:ascii="仿宋_GB2312" w:hAnsi="仿宋_GB2312" w:eastAsia="仿宋_GB2312" w:cs="仿宋_GB2312"/>
          <w:w w:val="103"/>
          <w:sz w:val="32"/>
          <w:szCs w:val="32"/>
        </w:rPr>
        <w:t>处置所需工作经费列入同级年度部门预算，保障应急处置资金。</w:t>
      </w:r>
    </w:p>
    <w:p>
      <w:pPr>
        <w:pStyle w:val="4"/>
        <w:spacing w:beforeAutospacing="0" w:afterAutospacing="0" w:line="560" w:lineRule="exact"/>
        <w:ind w:firstLine="640" w:firstLineChars="200"/>
        <w:rPr>
          <w:rFonts w:hint="default"/>
          <w:b w:val="0"/>
          <w:szCs w:val="32"/>
        </w:rPr>
      </w:pPr>
      <w:bookmarkStart w:id="50" w:name="_Toc2218"/>
      <w:r>
        <w:rPr>
          <w:rFonts w:hint="default" w:ascii="Times New Roman" w:hAnsi="Times New Roman"/>
          <w:b w:val="0"/>
          <w:szCs w:val="32"/>
        </w:rPr>
        <w:t>5</w:t>
      </w:r>
      <w:r>
        <w:rPr>
          <w:b w:val="0"/>
          <w:szCs w:val="32"/>
        </w:rPr>
        <w:t>.</w:t>
      </w:r>
      <w:r>
        <w:rPr>
          <w:rFonts w:hint="default" w:ascii="Times New Roman" w:hAnsi="Times New Roman"/>
          <w:b w:val="0"/>
          <w:szCs w:val="32"/>
        </w:rPr>
        <w:t>3</w:t>
      </w:r>
      <w:r>
        <w:rPr>
          <w:b w:val="0"/>
          <w:szCs w:val="32"/>
        </w:rPr>
        <w:t>物资保障</w:t>
      </w:r>
      <w:bookmarkEnd w:id="5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有关部门和相关企业要建立应急救援设施、设备、救治药品和医疗器械等储备制度，储备必要的应急物资和装备。各危险化学品应急救援队伍和相关企业根据有关法律法规要求和实际情况配备应急救援装备。县应急管理局建立完善应急物资、装备数据库和调用制度，保证应急状态时调用。</w:t>
      </w:r>
    </w:p>
    <w:p>
      <w:pPr>
        <w:pStyle w:val="4"/>
        <w:spacing w:beforeAutospacing="0" w:afterAutospacing="0" w:line="560" w:lineRule="exact"/>
        <w:ind w:firstLine="640" w:firstLineChars="200"/>
        <w:rPr>
          <w:rFonts w:hint="default"/>
          <w:b w:val="0"/>
          <w:szCs w:val="32"/>
        </w:rPr>
      </w:pPr>
      <w:bookmarkStart w:id="51" w:name="_Toc15931"/>
      <w:r>
        <w:rPr>
          <w:rFonts w:hint="default" w:ascii="Times New Roman" w:hAnsi="Times New Roman"/>
          <w:b w:val="0"/>
          <w:szCs w:val="32"/>
        </w:rPr>
        <w:t>5</w:t>
      </w:r>
      <w:r>
        <w:rPr>
          <w:b w:val="0"/>
          <w:szCs w:val="32"/>
        </w:rPr>
        <w:t>.</w:t>
      </w:r>
      <w:r>
        <w:rPr>
          <w:rFonts w:hint="default" w:ascii="Times New Roman" w:hAnsi="Times New Roman"/>
          <w:b w:val="0"/>
          <w:szCs w:val="32"/>
        </w:rPr>
        <w:t>4</w:t>
      </w:r>
      <w:r>
        <w:rPr>
          <w:b w:val="0"/>
          <w:szCs w:val="32"/>
        </w:rPr>
        <w:t>医疗卫生保障</w:t>
      </w:r>
      <w:bookmarkEnd w:id="5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卫生健康局制定相应的应急预案，根据危险化学品生产安全事故造成人员伤亡的特点，配备相应的医疗救治药物、技术设备和人员，制订调用方案，检查各单位的卫生应急准备保障措施。医疗救援机构接到应急指令后，要迅速到达现场实施医疗急救，县各级医院负责后续的治疗。</w:t>
      </w:r>
    </w:p>
    <w:p>
      <w:pPr>
        <w:pStyle w:val="4"/>
        <w:spacing w:beforeAutospacing="0" w:afterAutospacing="0" w:line="560" w:lineRule="exact"/>
        <w:ind w:firstLine="640" w:firstLineChars="200"/>
        <w:rPr>
          <w:rFonts w:hint="default"/>
          <w:b w:val="0"/>
          <w:szCs w:val="32"/>
        </w:rPr>
      </w:pPr>
      <w:bookmarkStart w:id="52" w:name="_Toc18526"/>
      <w:r>
        <w:rPr>
          <w:rFonts w:hint="default" w:ascii="Times New Roman" w:hAnsi="Times New Roman"/>
          <w:b w:val="0"/>
          <w:szCs w:val="32"/>
        </w:rPr>
        <w:t>5</w:t>
      </w:r>
      <w:r>
        <w:rPr>
          <w:b w:val="0"/>
          <w:szCs w:val="32"/>
        </w:rPr>
        <w:t>.</w:t>
      </w:r>
      <w:r>
        <w:rPr>
          <w:rFonts w:hint="default" w:ascii="Times New Roman" w:hAnsi="Times New Roman"/>
          <w:b w:val="0"/>
          <w:szCs w:val="32"/>
        </w:rPr>
        <w:t>5</w:t>
      </w:r>
      <w:r>
        <w:rPr>
          <w:b w:val="0"/>
          <w:szCs w:val="32"/>
        </w:rPr>
        <w:t>交通运输保障</w:t>
      </w:r>
      <w:bookmarkEnd w:id="52"/>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县交通运输管理局要健全公路、水路、铁路等应急运输保障体系，保障所需人员、物资、装备、器材等的运输；公安、交通等有关部门要保障应急抢险交通工具优先通行。</w:t>
      </w:r>
    </w:p>
    <w:p>
      <w:pPr>
        <w:pStyle w:val="4"/>
        <w:spacing w:beforeAutospacing="0" w:afterAutospacing="0" w:line="560" w:lineRule="exact"/>
        <w:ind w:firstLine="640" w:firstLineChars="200"/>
        <w:rPr>
          <w:rFonts w:hint="default"/>
          <w:b w:val="0"/>
          <w:szCs w:val="32"/>
        </w:rPr>
      </w:pPr>
      <w:bookmarkStart w:id="53" w:name="_Toc8415"/>
      <w:r>
        <w:rPr>
          <w:rFonts w:hint="default" w:ascii="Times New Roman" w:hAnsi="Times New Roman"/>
          <w:b w:val="0"/>
          <w:szCs w:val="32"/>
        </w:rPr>
        <w:t>5</w:t>
      </w:r>
      <w:r>
        <w:rPr>
          <w:b w:val="0"/>
          <w:szCs w:val="32"/>
        </w:rPr>
        <w:t>.</w:t>
      </w:r>
      <w:r>
        <w:rPr>
          <w:rFonts w:hint="default" w:ascii="Times New Roman" w:hAnsi="Times New Roman"/>
          <w:b w:val="0"/>
          <w:szCs w:val="32"/>
        </w:rPr>
        <w:t>6</w:t>
      </w:r>
      <w:r>
        <w:rPr>
          <w:b w:val="0"/>
          <w:szCs w:val="32"/>
        </w:rPr>
        <w:t>治安保障</w:t>
      </w:r>
      <w:bookmarkEnd w:id="53"/>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公安机关在本级政府领导下，迅速组织事故现场治安警戒和治安管理，加强对重点地区、重点场所、重点人群、重要物资设备的防范与保护，维持现场治安秩序，必要时联合有关部门发动和组织群众，开展群防联防，协助公安机关实施治安保卫工作。</w:t>
      </w:r>
    </w:p>
    <w:p>
      <w:pPr>
        <w:pStyle w:val="4"/>
        <w:spacing w:beforeAutospacing="0" w:afterAutospacing="0" w:line="560" w:lineRule="exact"/>
        <w:ind w:firstLine="640" w:firstLineChars="200"/>
        <w:rPr>
          <w:rFonts w:hint="default"/>
          <w:b w:val="0"/>
          <w:szCs w:val="32"/>
        </w:rPr>
      </w:pPr>
      <w:bookmarkStart w:id="54" w:name="_Toc3150"/>
      <w:r>
        <w:rPr>
          <w:rFonts w:hint="default" w:ascii="Times New Roman" w:hAnsi="Times New Roman"/>
          <w:b w:val="0"/>
          <w:szCs w:val="32"/>
        </w:rPr>
        <w:t>5</w:t>
      </w:r>
      <w:r>
        <w:rPr>
          <w:b w:val="0"/>
          <w:szCs w:val="32"/>
        </w:rPr>
        <w:t>.</w:t>
      </w:r>
      <w:r>
        <w:rPr>
          <w:rFonts w:hint="default" w:ascii="Times New Roman" w:hAnsi="Times New Roman"/>
          <w:b w:val="0"/>
          <w:szCs w:val="32"/>
        </w:rPr>
        <w:t>7</w:t>
      </w:r>
      <w:r>
        <w:rPr>
          <w:b w:val="0"/>
          <w:szCs w:val="32"/>
        </w:rPr>
        <w:t>通信保障</w:t>
      </w:r>
      <w:bookmarkEnd w:id="5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各有关部门要建立健全事故应急通信保障体系。县安全生产委员会各成员单位负责本部门、本系统相关信息收集、分析和处理，并按规定上报。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各有关单位应当掌握本区域内所有应急机构和相关部门的通信联系方式。通信主管部门要保障应急期间的通信联络和信息传递。</w:t>
      </w:r>
    </w:p>
    <w:p>
      <w:pPr>
        <w:pStyle w:val="3"/>
        <w:spacing w:beforeAutospacing="0" w:afterAutospacing="0" w:line="560" w:lineRule="exact"/>
        <w:ind w:firstLine="640" w:firstLineChars="200"/>
        <w:rPr>
          <w:rFonts w:hint="default"/>
          <w:b w:val="0"/>
          <w:szCs w:val="32"/>
        </w:rPr>
      </w:pPr>
      <w:bookmarkStart w:id="55" w:name="_Toc7711"/>
      <w:bookmarkStart w:id="56" w:name="_Toc8371"/>
      <w:r>
        <w:rPr>
          <w:rFonts w:hint="default" w:ascii="Times New Roman" w:hAnsi="Times New Roman"/>
          <w:b w:val="0"/>
          <w:szCs w:val="32"/>
        </w:rPr>
        <w:t>6</w:t>
      </w:r>
      <w:r>
        <w:rPr>
          <w:b w:val="0"/>
          <w:szCs w:val="32"/>
        </w:rPr>
        <w:t>预案管理</w:t>
      </w:r>
      <w:bookmarkEnd w:id="55"/>
    </w:p>
    <w:bookmarkEnd w:id="56"/>
    <w:p>
      <w:pPr>
        <w:pStyle w:val="4"/>
        <w:spacing w:beforeAutospacing="0" w:afterAutospacing="0" w:line="560" w:lineRule="exact"/>
        <w:ind w:firstLine="640" w:firstLineChars="200"/>
        <w:rPr>
          <w:rFonts w:hint="default"/>
          <w:b w:val="0"/>
          <w:szCs w:val="32"/>
        </w:rPr>
      </w:pPr>
      <w:bookmarkStart w:id="57" w:name="_Toc4987"/>
      <w:bookmarkStart w:id="58" w:name="_Toc3446"/>
      <w:r>
        <w:rPr>
          <w:rFonts w:hint="default" w:ascii="Times New Roman" w:hAnsi="Times New Roman"/>
          <w:b w:val="0"/>
          <w:szCs w:val="32"/>
        </w:rPr>
        <w:t>6</w:t>
      </w:r>
      <w:r>
        <w:rPr>
          <w:b w:val="0"/>
          <w:szCs w:val="32"/>
        </w:rPr>
        <w:t>.</w:t>
      </w:r>
      <w:r>
        <w:rPr>
          <w:rFonts w:hint="default" w:ascii="Times New Roman" w:hAnsi="Times New Roman"/>
          <w:b w:val="0"/>
          <w:szCs w:val="32"/>
        </w:rPr>
        <w:t>1</w:t>
      </w:r>
      <w:r>
        <w:rPr>
          <w:b w:val="0"/>
          <w:szCs w:val="32"/>
        </w:rPr>
        <w:t>预案体系建设</w:t>
      </w:r>
      <w:bookmarkEnd w:id="57"/>
    </w:p>
    <w:bookmarkEnd w:id="58"/>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县应急管理局定期组织有关部门、专家开展危险化学品生产安全事故应急预案的评估工作，并根据有关法律法规、风险评估、应急演练、应急处置等情况及时进行修订完善。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各乡（镇）人民政府、各危险化学品生产经营企事业单位，参照本预案制订、完善相应的应急预案。</w:t>
      </w:r>
    </w:p>
    <w:p>
      <w:pPr>
        <w:pStyle w:val="4"/>
        <w:spacing w:beforeAutospacing="0" w:afterAutospacing="0" w:line="560" w:lineRule="exact"/>
        <w:ind w:firstLine="640" w:firstLineChars="200"/>
        <w:rPr>
          <w:rFonts w:hint="default"/>
          <w:b w:val="0"/>
          <w:szCs w:val="32"/>
        </w:rPr>
      </w:pPr>
      <w:bookmarkStart w:id="59" w:name="_Toc32104"/>
      <w:bookmarkStart w:id="60" w:name="_Toc14459"/>
      <w:r>
        <w:rPr>
          <w:rFonts w:hint="default" w:ascii="Times New Roman" w:hAnsi="Times New Roman"/>
          <w:b w:val="0"/>
          <w:szCs w:val="32"/>
        </w:rPr>
        <w:t>6</w:t>
      </w:r>
      <w:r>
        <w:rPr>
          <w:b w:val="0"/>
          <w:szCs w:val="32"/>
        </w:rPr>
        <w:t>.</w:t>
      </w:r>
      <w:r>
        <w:rPr>
          <w:rFonts w:hint="default" w:ascii="Times New Roman" w:hAnsi="Times New Roman"/>
          <w:b w:val="0"/>
          <w:szCs w:val="32"/>
        </w:rPr>
        <w:t>2</w:t>
      </w:r>
      <w:r>
        <w:rPr>
          <w:b w:val="0"/>
          <w:szCs w:val="32"/>
        </w:rPr>
        <w:t>预案修订</w:t>
      </w:r>
      <w:bookmarkEnd w:id="59"/>
    </w:p>
    <w:bookmarkEnd w:id="60"/>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）下列情况，本预案应进行更新。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①本预案所依据的法律、法规做出调整或修改，或国家出台新的应急管理相关法律、法规；</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②原则上每三年组织修订、完善应急预案</w:t>
      </w:r>
      <w:r>
        <w:rPr>
          <w:rFonts w:hint="eastAsia" w:ascii="仿宋" w:hAnsi="仿宋" w:eastAsia="仿宋" w:cs="仿宋"/>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③根据日常应急演练和较大危险化学品生产安全事故应急行动结束后取得的经验，需对预案做出修改；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④因机构改革需要对应急管理机构进行调整；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⑤其他。</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）县应急管理局应根据形势变化和实际需要，及时修订和更新相关应急预案。</w:t>
      </w:r>
    </w:p>
    <w:p>
      <w:pPr>
        <w:pStyle w:val="4"/>
        <w:spacing w:beforeAutospacing="0" w:afterAutospacing="0" w:line="560" w:lineRule="exact"/>
        <w:ind w:firstLine="640" w:firstLineChars="200"/>
        <w:rPr>
          <w:rFonts w:hint="default"/>
          <w:b w:val="0"/>
          <w:szCs w:val="32"/>
        </w:rPr>
      </w:pPr>
      <w:bookmarkStart w:id="61" w:name="_Toc2999"/>
      <w:bookmarkStart w:id="62" w:name="_Toc16976"/>
      <w:r>
        <w:rPr>
          <w:rFonts w:hint="default" w:ascii="Times New Roman" w:hAnsi="Times New Roman"/>
          <w:b w:val="0"/>
          <w:szCs w:val="32"/>
        </w:rPr>
        <w:t>6</w:t>
      </w:r>
      <w:r>
        <w:rPr>
          <w:b w:val="0"/>
          <w:szCs w:val="32"/>
        </w:rPr>
        <w:t>.</w:t>
      </w:r>
      <w:r>
        <w:rPr>
          <w:rFonts w:hint="default" w:ascii="Times New Roman" w:hAnsi="Times New Roman"/>
          <w:b w:val="0"/>
          <w:szCs w:val="32"/>
        </w:rPr>
        <w:t>3</w:t>
      </w:r>
      <w:r>
        <w:rPr>
          <w:b w:val="0"/>
          <w:szCs w:val="32"/>
        </w:rPr>
        <w:t>预案</w:t>
      </w:r>
      <w:bookmarkEnd w:id="61"/>
      <w:r>
        <w:rPr>
          <w:b w:val="0"/>
          <w:szCs w:val="32"/>
        </w:rPr>
        <w:t>评审与公布</w:t>
      </w:r>
      <w:bookmarkEnd w:id="6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）本预案由县应急管理局组织有关专家及相关部门有关人员进行评审。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）本预案经县人民政府批准后，发布实施。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）本预案依法向社会公布。</w:t>
      </w:r>
    </w:p>
    <w:p>
      <w:pPr>
        <w:pStyle w:val="4"/>
        <w:spacing w:beforeAutospacing="0" w:afterAutospacing="0" w:line="560" w:lineRule="exact"/>
        <w:ind w:firstLine="640" w:firstLineChars="200"/>
        <w:rPr>
          <w:rFonts w:hint="default"/>
          <w:b w:val="0"/>
          <w:szCs w:val="32"/>
        </w:rPr>
      </w:pPr>
      <w:bookmarkStart w:id="63" w:name="_Toc2429"/>
      <w:r>
        <w:rPr>
          <w:rFonts w:hint="default" w:ascii="Times New Roman" w:hAnsi="Times New Roman"/>
          <w:b w:val="0"/>
          <w:szCs w:val="32"/>
        </w:rPr>
        <w:t>6</w:t>
      </w:r>
      <w:r>
        <w:rPr>
          <w:b w:val="0"/>
          <w:szCs w:val="32"/>
        </w:rPr>
        <w:t>.</w:t>
      </w:r>
      <w:r>
        <w:rPr>
          <w:rFonts w:hint="default" w:ascii="Times New Roman" w:hAnsi="Times New Roman"/>
          <w:b w:val="0"/>
          <w:szCs w:val="32"/>
        </w:rPr>
        <w:t>4</w:t>
      </w:r>
      <w:r>
        <w:rPr>
          <w:b w:val="0"/>
          <w:szCs w:val="32"/>
        </w:rPr>
        <w:t>预案宣传和培训</w:t>
      </w:r>
      <w:bookmarkEnd w:id="6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县危险化学品生产安全事故应急救援指挥部成员单位应加强危险化学品生产安全事故应急救援预案的宣传。危险化学品企业应与当地人民政府、社区建立联动机制，向周边群众宣传相关应急预案及应急救援知识。</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）危险化学品生产经营企业应结合企业实际情况，做好专、兼职应急救援队伍的培训，适时组织企业员工开展安全生产及应急救援知识培训，提高员工自救、互救能力。</w:t>
      </w:r>
    </w:p>
    <w:p>
      <w:pPr>
        <w:pStyle w:val="4"/>
        <w:spacing w:beforeAutospacing="0" w:afterAutospacing="0" w:line="560" w:lineRule="exact"/>
        <w:ind w:firstLine="640" w:firstLineChars="200"/>
        <w:rPr>
          <w:rFonts w:hint="default"/>
          <w:b w:val="0"/>
          <w:szCs w:val="32"/>
        </w:rPr>
      </w:pPr>
      <w:bookmarkStart w:id="64" w:name="_Toc22651"/>
      <w:r>
        <w:rPr>
          <w:rFonts w:hint="default" w:ascii="Times New Roman" w:hAnsi="Times New Roman"/>
          <w:b w:val="0"/>
          <w:szCs w:val="32"/>
        </w:rPr>
        <w:t>6</w:t>
      </w:r>
      <w:r>
        <w:rPr>
          <w:b w:val="0"/>
          <w:szCs w:val="32"/>
        </w:rPr>
        <w:t>.</w:t>
      </w:r>
      <w:r>
        <w:rPr>
          <w:rFonts w:hint="default" w:ascii="Times New Roman" w:hAnsi="Times New Roman"/>
          <w:b w:val="0"/>
          <w:szCs w:val="32"/>
        </w:rPr>
        <w:t>5</w:t>
      </w:r>
      <w:r>
        <w:rPr>
          <w:b w:val="0"/>
          <w:szCs w:val="32"/>
        </w:rPr>
        <w:t>预案演练</w:t>
      </w:r>
      <w:bookmarkEnd w:id="64"/>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 xml:space="preserve">）县应急管理局负责县行政区域内危险化学品生产安全事故应急预案演练的管理工作，并按《生产安全事故应急条例》有关规定，督促乡镇人民政府组织进行危险化学品生产安全事故应急预案演练，并对演练及时进行抽查、监督和指导。乡镇人民政府应当至少每 </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 xml:space="preserve"> 年组织 </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次危险化学品生产安全事故应急预案演练。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）县应急管理局要监督辖区内危险化学品生产经营企业按规定每半年组织开展一次危险化学品生产安全事故应急预案演练，并对应急演练进行抽查、指导和做好记录。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）危险化学品生产安全事故应急演练结束后，主办单位要做好演练效果评价，问题整改，资料归档及上报等工作。</w:t>
      </w:r>
    </w:p>
    <w:p>
      <w:pPr>
        <w:pStyle w:val="3"/>
        <w:spacing w:beforeAutospacing="0" w:afterAutospacing="0" w:line="560" w:lineRule="exact"/>
        <w:ind w:firstLine="640" w:firstLineChars="200"/>
        <w:rPr>
          <w:rFonts w:hint="default"/>
          <w:b w:val="0"/>
          <w:szCs w:val="32"/>
        </w:rPr>
      </w:pPr>
      <w:bookmarkStart w:id="65" w:name="_Toc2914"/>
      <w:r>
        <w:rPr>
          <w:rFonts w:hint="default" w:ascii="Times New Roman" w:hAnsi="Times New Roman"/>
          <w:b w:val="0"/>
          <w:szCs w:val="32"/>
        </w:rPr>
        <w:t>7</w:t>
      </w:r>
      <w:r>
        <w:rPr>
          <w:b w:val="0"/>
          <w:szCs w:val="32"/>
        </w:rPr>
        <w:t>奖励与责任追究</w:t>
      </w:r>
      <w:bookmarkEnd w:id="65"/>
    </w:p>
    <w:p>
      <w:pPr>
        <w:pStyle w:val="4"/>
        <w:spacing w:beforeAutospacing="0" w:afterAutospacing="0" w:line="560" w:lineRule="exact"/>
        <w:ind w:firstLine="640" w:firstLineChars="200"/>
        <w:rPr>
          <w:rFonts w:hint="default"/>
          <w:b w:val="0"/>
          <w:szCs w:val="32"/>
        </w:rPr>
      </w:pPr>
      <w:bookmarkStart w:id="66" w:name="_Toc10934"/>
      <w:r>
        <w:rPr>
          <w:rFonts w:hint="default" w:ascii="Times New Roman" w:hAnsi="Times New Roman"/>
          <w:b w:val="0"/>
          <w:szCs w:val="32"/>
        </w:rPr>
        <w:t>7</w:t>
      </w:r>
      <w:r>
        <w:rPr>
          <w:b w:val="0"/>
          <w:szCs w:val="32"/>
        </w:rPr>
        <w:t>.</w:t>
      </w:r>
      <w:r>
        <w:rPr>
          <w:rFonts w:hint="default" w:ascii="Times New Roman" w:hAnsi="Times New Roman"/>
          <w:b w:val="0"/>
          <w:szCs w:val="32"/>
        </w:rPr>
        <w:t>1</w:t>
      </w:r>
      <w:r>
        <w:rPr>
          <w:b w:val="0"/>
          <w:szCs w:val="32"/>
        </w:rPr>
        <w:t>奖励</w:t>
      </w:r>
      <w:bookmarkEnd w:id="6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在危险化学品生产安全事故应急救援工作中有下列表现之一的单位和个人，应依据有关规定给予奖励：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）出色完成应急处置任务，成绩显著的。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）防止或抢救事故有功，使国家、集体和人民群众的财产免受或者减少损失，挽救群众生命的。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）对应急救援工作提出重大建议，实施效果显著的。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）有其他特殊贡献的。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奖励的具体实施按有关规定执行。</w:t>
      </w:r>
    </w:p>
    <w:p>
      <w:pPr>
        <w:pStyle w:val="4"/>
        <w:spacing w:beforeAutospacing="0" w:afterAutospacing="0" w:line="560" w:lineRule="exact"/>
        <w:ind w:firstLine="640" w:firstLineChars="200"/>
        <w:rPr>
          <w:rFonts w:hint="default"/>
          <w:b w:val="0"/>
          <w:szCs w:val="32"/>
        </w:rPr>
      </w:pPr>
      <w:bookmarkStart w:id="67" w:name="_Toc7565"/>
      <w:r>
        <w:rPr>
          <w:rFonts w:hint="default" w:ascii="Times New Roman" w:hAnsi="Times New Roman"/>
          <w:b w:val="0"/>
          <w:szCs w:val="32"/>
        </w:rPr>
        <w:t>7</w:t>
      </w:r>
      <w:r>
        <w:rPr>
          <w:b w:val="0"/>
          <w:szCs w:val="32"/>
        </w:rPr>
        <w:t>.</w:t>
      </w:r>
      <w:r>
        <w:rPr>
          <w:rFonts w:hint="default" w:ascii="Times New Roman" w:hAnsi="Times New Roman"/>
          <w:b w:val="0"/>
          <w:szCs w:val="32"/>
        </w:rPr>
        <w:t>2</w:t>
      </w:r>
      <w:r>
        <w:rPr>
          <w:b w:val="0"/>
          <w:szCs w:val="32"/>
        </w:rPr>
        <w:t>责任追究</w:t>
      </w:r>
      <w:bookmarkEnd w:id="6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危险化学品生产安全事故应急救援工作中有下列行为之一的有关责任人，按照法律、法规及有关规定，给予相应行政处分；属于违反治安管理行为的，由公安机关依照有关法律法规的规定予以处罚；构成犯罪的，由司法机关依法追究刑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）不按照规定制定事故应急预案，拒绝履行应急准备义务的。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）不按规定报告、通报事故真实情况的。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）拒不执行生产安全事故应急预案，不服从命令、指挥，或者在应急响应时临阵脱逃的。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）盗窃、挪用、贪污应急工作资金或者物资的。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）阻碍应急工作人员依法执行任务或者进行破坏活动的。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）散布谣言，扰乱社会秩序的。</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）有其他危害应急工作行为的。</w:t>
      </w:r>
    </w:p>
    <w:p>
      <w:pPr>
        <w:pStyle w:val="3"/>
        <w:spacing w:beforeAutospacing="0" w:afterAutospacing="0" w:line="560" w:lineRule="exact"/>
        <w:ind w:firstLine="640" w:firstLineChars="200"/>
        <w:rPr>
          <w:rFonts w:hint="default"/>
          <w:b w:val="0"/>
          <w:szCs w:val="32"/>
        </w:rPr>
      </w:pPr>
      <w:bookmarkStart w:id="68" w:name="_Toc10174"/>
      <w:r>
        <w:rPr>
          <w:rFonts w:hint="default" w:ascii="Times New Roman" w:hAnsi="Times New Roman"/>
          <w:b w:val="0"/>
          <w:szCs w:val="32"/>
        </w:rPr>
        <w:t>8</w:t>
      </w:r>
      <w:r>
        <w:rPr>
          <w:b w:val="0"/>
          <w:szCs w:val="32"/>
        </w:rPr>
        <w:t>附则</w:t>
      </w:r>
      <w:bookmarkEnd w:id="68"/>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本预案由县应急管理局负责解释。</w:t>
      </w:r>
    </w:p>
    <w:p>
      <w:pPr>
        <w:pStyle w:val="3"/>
        <w:spacing w:beforeAutospacing="0" w:afterAutospacing="0" w:line="560" w:lineRule="exact"/>
        <w:ind w:firstLine="640" w:firstLineChars="200"/>
        <w:rPr>
          <w:rFonts w:hint="default"/>
          <w:b w:val="0"/>
          <w:szCs w:val="32"/>
        </w:rPr>
      </w:pPr>
      <w:bookmarkStart w:id="69" w:name="_Toc8573"/>
      <w:r>
        <w:rPr>
          <w:rFonts w:hint="default" w:ascii="Times New Roman" w:hAnsi="Times New Roman"/>
          <w:b w:val="0"/>
          <w:szCs w:val="32"/>
        </w:rPr>
        <w:t>9</w:t>
      </w:r>
      <w:r>
        <w:rPr>
          <w:b w:val="0"/>
          <w:szCs w:val="32"/>
        </w:rPr>
        <w:t>附件</w:t>
      </w:r>
      <w:bookmarkEnd w:id="69"/>
    </w:p>
    <w:p>
      <w:pPr>
        <w:pStyle w:val="4"/>
        <w:spacing w:beforeAutospacing="0" w:afterAutospacing="0" w:line="560" w:lineRule="exact"/>
        <w:ind w:firstLine="640" w:firstLineChars="200"/>
        <w:rPr>
          <w:rFonts w:hint="default"/>
          <w:b w:val="0"/>
          <w:szCs w:val="32"/>
        </w:rPr>
      </w:pPr>
      <w:bookmarkStart w:id="70" w:name="_Toc27135"/>
      <w:r>
        <w:rPr>
          <w:rFonts w:hint="default" w:ascii="Times New Roman" w:hAnsi="Times New Roman"/>
          <w:b w:val="0"/>
          <w:szCs w:val="32"/>
        </w:rPr>
        <w:t>9</w:t>
      </w:r>
      <w:r>
        <w:rPr>
          <w:b w:val="0"/>
          <w:szCs w:val="32"/>
        </w:rPr>
        <w:t>.</w:t>
      </w:r>
      <w:r>
        <w:rPr>
          <w:rFonts w:hint="default" w:ascii="Times New Roman" w:hAnsi="Times New Roman"/>
          <w:b w:val="0"/>
          <w:szCs w:val="32"/>
        </w:rPr>
        <w:t>1</w:t>
      </w:r>
      <w:r>
        <w:rPr>
          <w:b w:val="0"/>
          <w:szCs w:val="32"/>
        </w:rPr>
        <w:t>危险化学品企业现状及事故风险辨识与评估</w:t>
      </w:r>
      <w:bookmarkEnd w:id="70"/>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71" w:name="_Toc13098"/>
      <w:r>
        <w:rPr>
          <w:rFonts w:hint="default" w:ascii="Times New Roman" w:hAnsi="Times New Roman" w:eastAsia="仿宋_GB2312"/>
          <w:bCs/>
          <w:szCs w:val="32"/>
        </w:rPr>
        <w:t>9</w:t>
      </w:r>
      <w:r>
        <w:rPr>
          <w:rFonts w:ascii="仿宋_GB2312" w:hAnsi="仿宋_GB2312" w:eastAsia="仿宋_GB2312" w:cs="仿宋_GB2312"/>
          <w:bCs/>
          <w:szCs w:val="32"/>
        </w:rPr>
        <w:t>.</w:t>
      </w:r>
      <w:r>
        <w:rPr>
          <w:rFonts w:hint="default" w:ascii="Times New Roman" w:hAnsi="Times New Roman" w:eastAsia="仿宋_GB2312"/>
          <w:bCs/>
          <w:szCs w:val="32"/>
        </w:rPr>
        <w:t>1</w:t>
      </w:r>
      <w:r>
        <w:rPr>
          <w:rFonts w:ascii="仿宋_GB2312" w:hAnsi="仿宋_GB2312" w:eastAsia="仿宋_GB2312" w:cs="仿宋_GB2312"/>
          <w:bCs/>
          <w:szCs w:val="32"/>
        </w:rPr>
        <w:t>.</w:t>
      </w:r>
      <w:r>
        <w:rPr>
          <w:rFonts w:hint="default" w:ascii="Times New Roman" w:hAnsi="Times New Roman" w:eastAsia="仿宋_GB2312"/>
          <w:bCs/>
          <w:szCs w:val="32"/>
        </w:rPr>
        <w:t>1</w:t>
      </w:r>
      <w:r>
        <w:rPr>
          <w:rFonts w:ascii="仿宋_GB2312" w:hAnsi="仿宋_GB2312" w:eastAsia="仿宋_GB2312" w:cs="仿宋_GB2312"/>
          <w:bCs/>
          <w:szCs w:val="32"/>
        </w:rPr>
        <w:t>县涉及危险化学品企业情况</w:t>
      </w:r>
      <w:bookmarkEnd w:id="71"/>
    </w:p>
    <w:p>
      <w:pPr>
        <w:spacing w:line="560" w:lineRule="exact"/>
        <w:ind w:firstLine="640" w:firstLineChars="200"/>
        <w:rPr>
          <w:rFonts w:ascii="仿宋_GB2312" w:hAnsi="仿宋_GB2312" w:eastAsia="仿宋_GB2312" w:cs="仿宋_GB2312"/>
          <w:w w:val="103"/>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．截至</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月，我县共有危险化学品生产企业</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家，加油站</w:t>
      </w:r>
      <w:r>
        <w:rPr>
          <w:rFonts w:ascii="Times New Roman" w:hAnsi="Times New Roman" w:eastAsia="仿宋_GB2312" w:cs="Times New Roman"/>
          <w:sz w:val="32"/>
          <w:szCs w:val="32"/>
        </w:rPr>
        <w:t>21</w:t>
      </w:r>
      <w:r>
        <w:rPr>
          <w:rFonts w:hint="eastAsia" w:ascii="仿宋_GB2312" w:hAnsi="仿宋_GB2312" w:eastAsia="仿宋_GB2312" w:cs="仿宋_GB2312"/>
          <w:sz w:val="32"/>
          <w:szCs w:val="32"/>
        </w:rPr>
        <w:t>家，小化工企业</w:t>
      </w:r>
      <w:r>
        <w:rPr>
          <w:rFonts w:ascii="Times New Roman" w:hAnsi="Times New Roman" w:eastAsia="仿宋_GB2312" w:cs="Times New Roman"/>
          <w:sz w:val="32"/>
          <w:szCs w:val="32"/>
        </w:rPr>
        <w:t>9</w:t>
      </w:r>
      <w:r>
        <w:rPr>
          <w:rFonts w:hint="eastAsia" w:ascii="仿宋_GB2312" w:hAnsi="仿宋_GB2312" w:eastAsia="仿宋_GB2312" w:cs="仿宋_GB2312"/>
          <w:sz w:val="32"/>
          <w:szCs w:val="32"/>
        </w:rPr>
        <w:t>家（使用危险化学品生产的企业），无重大危险源企业。企业生产经营的危险化学品储存在易燃易爆和有毒有害和腐蚀性危险，主要有：硫酸、</w:t>
      </w:r>
      <w:r>
        <w:rPr>
          <w:rFonts w:hint="eastAsia" w:ascii="仿宋_GB2312" w:hAnsi="仿宋_GB2312" w:eastAsia="仿宋_GB2312" w:cs="仿宋_GB2312"/>
          <w:w w:val="103"/>
          <w:sz w:val="32"/>
          <w:szCs w:val="32"/>
        </w:rPr>
        <w:t>汽油、石油醚、酒精。加油站是我县重点监管危险化学品企业。</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．部分工贸生产企业使用危险化学品。使用的危险化学品主要有：氧气、乙炔、石油醚、酒精。企业使用和管理不当易发生安全事故，是我县重点监管的工贸企业。</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．危险化学品运输车辆发生泄漏事故大多</w:t>
      </w:r>
      <w:r>
        <w:rPr>
          <w:rFonts w:hint="eastAsia" w:ascii="Times New Roman" w:hAnsi="Times New Roman" w:eastAsia="仿宋_GB2312" w:cs="Times New Roman"/>
          <w:sz w:val="32"/>
          <w:szCs w:val="32"/>
        </w:rPr>
        <w:t>在</w:t>
      </w:r>
      <w:r>
        <w:rPr>
          <w:rFonts w:hint="eastAsia" w:ascii="仿宋_GB2312" w:hAnsi="仿宋_GB2312" w:eastAsia="仿宋_GB2312" w:cs="仿宋_GB2312"/>
          <w:sz w:val="32"/>
          <w:szCs w:val="32"/>
        </w:rPr>
        <w:t>三柳高速路上。</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72" w:name="_Toc25547"/>
      <w:r>
        <w:rPr>
          <w:rFonts w:hint="default" w:ascii="Times New Roman" w:hAnsi="Times New Roman" w:eastAsia="仿宋_GB2312"/>
          <w:bCs/>
          <w:szCs w:val="32"/>
        </w:rPr>
        <w:t>9</w:t>
      </w:r>
      <w:r>
        <w:rPr>
          <w:rFonts w:ascii="仿宋_GB2312" w:hAnsi="仿宋_GB2312" w:eastAsia="仿宋_GB2312" w:cs="仿宋_GB2312"/>
          <w:bCs/>
          <w:szCs w:val="32"/>
        </w:rPr>
        <w:t>.</w:t>
      </w:r>
      <w:r>
        <w:rPr>
          <w:rFonts w:hint="default" w:ascii="Times New Roman" w:hAnsi="Times New Roman" w:eastAsia="仿宋_GB2312"/>
          <w:bCs/>
          <w:szCs w:val="32"/>
        </w:rPr>
        <w:t>1</w:t>
      </w:r>
      <w:r>
        <w:rPr>
          <w:rFonts w:ascii="仿宋_GB2312" w:hAnsi="仿宋_GB2312" w:eastAsia="仿宋_GB2312" w:cs="仿宋_GB2312"/>
          <w:bCs/>
          <w:szCs w:val="32"/>
        </w:rPr>
        <w:t>.</w:t>
      </w:r>
      <w:r>
        <w:rPr>
          <w:rFonts w:hint="default" w:ascii="Times New Roman" w:hAnsi="Times New Roman" w:eastAsia="仿宋_GB2312"/>
          <w:bCs/>
          <w:szCs w:val="32"/>
        </w:rPr>
        <w:t>2</w:t>
      </w:r>
      <w:r>
        <w:rPr>
          <w:rFonts w:ascii="仿宋_GB2312" w:hAnsi="仿宋_GB2312" w:eastAsia="仿宋_GB2312" w:cs="仿宋_GB2312"/>
          <w:bCs/>
          <w:szCs w:val="32"/>
        </w:rPr>
        <w:t>主要事故类型</w:t>
      </w:r>
      <w:bookmarkEnd w:id="7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根据县涉及危险化学品的种类及其危险特性，县危险化学品生产安全事故的类型主要有：燃烧、爆炸、中毒或窒息、灼伤、泄漏等</w:t>
      </w: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大类。</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73" w:name="_Toc4337"/>
      <w:r>
        <w:rPr>
          <w:rFonts w:hint="default" w:ascii="Times New Roman" w:hAnsi="Times New Roman" w:eastAsia="仿宋_GB2312"/>
          <w:bCs/>
          <w:szCs w:val="32"/>
        </w:rPr>
        <w:t>9</w:t>
      </w:r>
      <w:r>
        <w:rPr>
          <w:rFonts w:ascii="仿宋_GB2312" w:hAnsi="仿宋_GB2312" w:eastAsia="仿宋_GB2312" w:cs="仿宋_GB2312"/>
          <w:bCs/>
          <w:szCs w:val="32"/>
        </w:rPr>
        <w:t>.</w:t>
      </w:r>
      <w:r>
        <w:rPr>
          <w:rFonts w:hint="default" w:ascii="Times New Roman" w:hAnsi="Times New Roman" w:eastAsia="仿宋_GB2312"/>
          <w:bCs/>
          <w:szCs w:val="32"/>
        </w:rPr>
        <w:t>1</w:t>
      </w:r>
      <w:r>
        <w:rPr>
          <w:rFonts w:ascii="仿宋_GB2312" w:hAnsi="仿宋_GB2312" w:eastAsia="仿宋_GB2312" w:cs="仿宋_GB2312"/>
          <w:bCs/>
          <w:szCs w:val="32"/>
        </w:rPr>
        <w:t>.</w:t>
      </w:r>
      <w:r>
        <w:rPr>
          <w:rFonts w:hint="default" w:ascii="Times New Roman" w:hAnsi="Times New Roman" w:eastAsia="仿宋_GB2312"/>
          <w:bCs/>
          <w:szCs w:val="32"/>
        </w:rPr>
        <w:t>3</w:t>
      </w:r>
      <w:r>
        <w:rPr>
          <w:rFonts w:ascii="仿宋_GB2312" w:hAnsi="仿宋_GB2312" w:eastAsia="仿宋_GB2312" w:cs="仿宋_GB2312"/>
          <w:bCs/>
          <w:szCs w:val="32"/>
        </w:rPr>
        <w:t>重点防范区域</w:t>
      </w:r>
      <w:bookmarkEnd w:id="7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使用乙炔、氧气等气体和使用酒精、石油醚企业极具燃烧爆炸风险，必须重点防范其火灾、爆炸事故。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危险化学品道路运输可能发生交通事故，应重点防范其次生灾害的影响。包括油品等易燃液体泄漏引发的火灾、爆炸、中毒事故；压缩和液化气体钢瓶运输车辆钢瓶碰撞泄漏事故；危险化学品包装袋破损引发火灾、中毒事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危险化学品铁路运输重点防范因泄漏导致的火灾、爆炸及扩散导致周边居民急性中毒事故。</w:t>
      </w:r>
    </w:p>
    <w:p>
      <w:pPr>
        <w:pStyle w:val="4"/>
        <w:spacing w:beforeAutospacing="0" w:afterAutospacing="0" w:line="560" w:lineRule="exact"/>
        <w:ind w:firstLine="640" w:firstLineChars="200"/>
        <w:rPr>
          <w:rFonts w:hint="default"/>
          <w:b w:val="0"/>
          <w:szCs w:val="32"/>
        </w:rPr>
      </w:pPr>
      <w:bookmarkStart w:id="74" w:name="_Toc25104"/>
      <w:r>
        <w:rPr>
          <w:rFonts w:hint="default" w:ascii="Times New Roman" w:hAnsi="Times New Roman"/>
          <w:b w:val="0"/>
          <w:szCs w:val="32"/>
        </w:rPr>
        <w:t>9</w:t>
      </w:r>
      <w:r>
        <w:rPr>
          <w:b w:val="0"/>
          <w:szCs w:val="32"/>
        </w:rPr>
        <w:t>.</w:t>
      </w:r>
      <w:r>
        <w:rPr>
          <w:rFonts w:hint="default" w:ascii="Times New Roman" w:hAnsi="Times New Roman"/>
          <w:b w:val="0"/>
          <w:szCs w:val="32"/>
        </w:rPr>
        <w:t>2</w:t>
      </w:r>
      <w:r>
        <w:rPr>
          <w:b w:val="0"/>
          <w:szCs w:val="32"/>
        </w:rPr>
        <w:t>应急资源情况</w:t>
      </w:r>
      <w:bookmarkEnd w:id="74"/>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75" w:name="_Toc25579"/>
      <w:r>
        <w:rPr>
          <w:rFonts w:hint="default" w:ascii="Times New Roman" w:hAnsi="Times New Roman" w:eastAsia="仿宋_GB2312"/>
          <w:bCs/>
          <w:szCs w:val="32"/>
        </w:rPr>
        <w:t>9</w:t>
      </w:r>
      <w:r>
        <w:rPr>
          <w:rFonts w:ascii="仿宋_GB2312" w:hAnsi="仿宋_GB2312" w:eastAsia="仿宋_GB2312" w:cs="仿宋_GB2312"/>
          <w:bCs/>
          <w:szCs w:val="32"/>
        </w:rPr>
        <w:t>.</w:t>
      </w:r>
      <w:r>
        <w:rPr>
          <w:rFonts w:hint="default" w:ascii="Times New Roman" w:hAnsi="Times New Roman" w:eastAsia="仿宋_GB2312"/>
          <w:bCs/>
          <w:szCs w:val="32"/>
        </w:rPr>
        <w:t>2</w:t>
      </w:r>
      <w:r>
        <w:rPr>
          <w:rFonts w:ascii="仿宋_GB2312" w:hAnsi="仿宋_GB2312" w:eastAsia="仿宋_GB2312" w:cs="仿宋_GB2312"/>
          <w:bCs/>
          <w:szCs w:val="32"/>
        </w:rPr>
        <w:t>.</w:t>
      </w:r>
      <w:r>
        <w:rPr>
          <w:rFonts w:hint="default" w:ascii="Times New Roman" w:hAnsi="Times New Roman" w:eastAsia="仿宋_GB2312"/>
          <w:bCs/>
          <w:szCs w:val="32"/>
        </w:rPr>
        <w:t>1</w:t>
      </w:r>
      <w:r>
        <w:rPr>
          <w:rFonts w:ascii="仿宋_GB2312" w:hAnsi="仿宋_GB2312" w:eastAsia="仿宋_GB2312" w:cs="仿宋_GB2312"/>
          <w:bCs/>
          <w:szCs w:val="32"/>
        </w:rPr>
        <w:t>应急救援队伍建设</w:t>
      </w:r>
      <w:bookmarkEnd w:id="75"/>
    </w:p>
    <w:p>
      <w:pPr>
        <w:spacing w:line="560" w:lineRule="exact"/>
        <w:ind w:firstLine="320" w:firstLineChars="100"/>
        <w:jc w:val="center"/>
        <w:rPr>
          <w:rFonts w:ascii="仿宋" w:hAnsi="仿宋" w:eastAsia="仿宋" w:cs="仿宋"/>
          <w:sz w:val="32"/>
          <w:szCs w:val="32"/>
        </w:rPr>
      </w:pPr>
      <w:r>
        <w:rPr>
          <w:rFonts w:hint="eastAsia" w:ascii="仿宋" w:hAnsi="仿宋" w:eastAsia="仿宋" w:cs="仿宋"/>
          <w:sz w:val="32"/>
          <w:szCs w:val="32"/>
        </w:rPr>
        <w:t>县级危险化学品应急救援队伍基本情况表</w:t>
      </w:r>
    </w:p>
    <w:tbl>
      <w:tblPr>
        <w:tblStyle w:val="15"/>
        <w:tblW w:w="4998" w:type="pct"/>
        <w:jc w:val="center"/>
        <w:shd w:val="clear" w:color="auto" w:fill="FFFFFF"/>
        <w:tblLayout w:type="autofit"/>
        <w:tblCellMar>
          <w:top w:w="0" w:type="dxa"/>
          <w:left w:w="0" w:type="dxa"/>
          <w:bottom w:w="0" w:type="dxa"/>
          <w:right w:w="0" w:type="dxa"/>
        </w:tblCellMar>
      </w:tblPr>
      <w:tblGrid>
        <w:gridCol w:w="3616"/>
        <w:gridCol w:w="2021"/>
        <w:gridCol w:w="2676"/>
      </w:tblGrid>
      <w:tr>
        <w:tblPrEx>
          <w:shd w:val="clear" w:color="auto" w:fill="FFFFFF"/>
          <w:tblCellMar>
            <w:top w:w="0" w:type="dxa"/>
            <w:left w:w="0" w:type="dxa"/>
            <w:bottom w:w="0" w:type="dxa"/>
            <w:right w:w="0" w:type="dxa"/>
          </w:tblCellMar>
        </w:tblPrEx>
        <w:trPr>
          <w:trHeight w:val="552" w:hRule="atLeast"/>
          <w:jc w:val="center"/>
        </w:trPr>
        <w:tc>
          <w:tcPr>
            <w:tcW w:w="2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单位</w:t>
            </w:r>
          </w:p>
        </w:tc>
        <w:tc>
          <w:tcPr>
            <w:tcW w:w="1215" w:type="pct"/>
            <w:tcBorders>
              <w:top w:val="single" w:color="000000" w:sz="4" w:space="0"/>
              <w:left w:val="nil"/>
              <w:bottom w:val="single" w:color="000000" w:sz="4" w:space="0"/>
              <w:right w:val="single" w:color="000000" w:sz="4" w:space="0"/>
            </w:tcBorders>
            <w:shd w:val="clear" w:color="auto" w:fill="FFFFFF"/>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联系电话</w:t>
            </w:r>
          </w:p>
        </w:tc>
        <w:tc>
          <w:tcPr>
            <w:tcW w:w="1609" w:type="pct"/>
            <w:tcBorders>
              <w:top w:val="single" w:color="000000" w:sz="4" w:space="0"/>
              <w:left w:val="nil"/>
              <w:bottom w:val="single" w:color="000000" w:sz="4" w:space="0"/>
              <w:right w:val="single" w:color="000000" w:sz="4" w:space="0"/>
            </w:tcBorders>
            <w:shd w:val="clear" w:color="auto" w:fill="FFFFFF"/>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常驻地</w:t>
            </w:r>
          </w:p>
        </w:tc>
      </w:tr>
      <w:tr>
        <w:tblPrEx>
          <w:shd w:val="clear" w:color="auto" w:fill="FFFFFF"/>
          <w:tblCellMar>
            <w:top w:w="0" w:type="dxa"/>
            <w:left w:w="0" w:type="dxa"/>
            <w:bottom w:w="0" w:type="dxa"/>
            <w:right w:w="0" w:type="dxa"/>
          </w:tblCellMar>
        </w:tblPrEx>
        <w:trPr>
          <w:trHeight w:val="755" w:hRule="atLeast"/>
          <w:jc w:val="center"/>
        </w:trPr>
        <w:tc>
          <w:tcPr>
            <w:tcW w:w="2174" w:type="pct"/>
            <w:tcBorders>
              <w:top w:val="nil"/>
              <w:left w:val="single" w:color="000000" w:sz="4" w:space="0"/>
              <w:bottom w:val="single" w:color="000000" w:sz="4" w:space="0"/>
              <w:right w:val="single" w:color="000000" w:sz="4" w:space="0"/>
            </w:tcBorders>
            <w:shd w:val="clear" w:color="auto" w:fill="FFFFFF"/>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县消防救援大队</w:t>
            </w:r>
          </w:p>
        </w:tc>
        <w:tc>
          <w:tcPr>
            <w:tcW w:w="1215" w:type="pct"/>
            <w:tcBorders>
              <w:top w:val="nil"/>
              <w:left w:val="nil"/>
              <w:bottom w:val="single" w:color="000000" w:sz="4" w:space="0"/>
              <w:right w:val="single" w:color="000000" w:sz="4" w:space="0"/>
            </w:tcBorders>
            <w:shd w:val="clear" w:color="auto" w:fill="FFFFFF"/>
            <w:vAlign w:val="center"/>
          </w:tcPr>
          <w:p>
            <w:pPr>
              <w:spacing w:line="560" w:lineRule="exact"/>
              <w:jc w:val="center"/>
              <w:rPr>
                <w:rFonts w:ascii="仿宋_GB2312" w:hAnsi="仿宋_GB2312" w:eastAsia="仿宋_GB2312" w:cs="仿宋_GB2312"/>
                <w:sz w:val="32"/>
                <w:szCs w:val="32"/>
              </w:rPr>
            </w:pPr>
            <w:r>
              <w:rPr>
                <w:rFonts w:ascii="Times New Roman" w:hAnsi="Times New Roman" w:eastAsia="仿宋_GB2312" w:cs="Times New Roman"/>
                <w:sz w:val="32"/>
                <w:szCs w:val="32"/>
              </w:rPr>
              <w:t>119</w:t>
            </w:r>
          </w:p>
        </w:tc>
        <w:tc>
          <w:tcPr>
            <w:tcW w:w="1609" w:type="pct"/>
            <w:tcBorders>
              <w:top w:val="nil"/>
              <w:left w:val="nil"/>
              <w:bottom w:val="single" w:color="000000" w:sz="4" w:space="0"/>
              <w:right w:val="single" w:color="000000" w:sz="4" w:space="0"/>
            </w:tcBorders>
            <w:shd w:val="clear" w:color="auto" w:fill="FFFFFF"/>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融安县</w:t>
            </w:r>
          </w:p>
        </w:tc>
      </w:tr>
    </w:tbl>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76" w:name="_Toc16870"/>
      <w:r>
        <w:rPr>
          <w:rFonts w:hint="default" w:ascii="Times New Roman" w:hAnsi="Times New Roman" w:eastAsia="仿宋_GB2312"/>
          <w:bCs/>
          <w:szCs w:val="32"/>
        </w:rPr>
        <w:t>9</w:t>
      </w:r>
      <w:r>
        <w:rPr>
          <w:rFonts w:ascii="仿宋_GB2312" w:hAnsi="仿宋_GB2312" w:eastAsia="仿宋_GB2312" w:cs="仿宋_GB2312"/>
          <w:bCs/>
          <w:szCs w:val="32"/>
        </w:rPr>
        <w:t>.</w:t>
      </w:r>
      <w:r>
        <w:rPr>
          <w:rFonts w:hint="default" w:ascii="Times New Roman" w:hAnsi="Times New Roman" w:eastAsia="仿宋_GB2312"/>
          <w:bCs/>
          <w:szCs w:val="32"/>
        </w:rPr>
        <w:t>2</w:t>
      </w:r>
      <w:r>
        <w:rPr>
          <w:rFonts w:ascii="仿宋_GB2312" w:hAnsi="仿宋_GB2312" w:eastAsia="仿宋_GB2312" w:cs="仿宋_GB2312"/>
          <w:bCs/>
          <w:szCs w:val="32"/>
        </w:rPr>
        <w:t>.</w:t>
      </w:r>
      <w:r>
        <w:rPr>
          <w:rFonts w:hint="default" w:ascii="Times New Roman" w:hAnsi="Times New Roman" w:eastAsia="仿宋_GB2312"/>
          <w:bCs/>
          <w:szCs w:val="32"/>
        </w:rPr>
        <w:t>2</w:t>
      </w:r>
      <w:r>
        <w:rPr>
          <w:rFonts w:ascii="仿宋_GB2312" w:hAnsi="仿宋_GB2312" w:eastAsia="仿宋_GB2312" w:cs="仿宋_GB2312"/>
          <w:bCs/>
          <w:szCs w:val="32"/>
        </w:rPr>
        <w:t>应急物资装备储备</w:t>
      </w:r>
      <w:bookmarkEnd w:id="76"/>
    </w:p>
    <w:p>
      <w:pPr>
        <w:spacing w:line="560" w:lineRule="exact"/>
        <w:jc w:val="center"/>
        <w:rPr>
          <w:rFonts w:ascii="仿宋" w:hAnsi="仿宋" w:eastAsia="仿宋" w:cs="仿宋"/>
          <w:sz w:val="32"/>
          <w:szCs w:val="32"/>
        </w:rPr>
      </w:pPr>
      <w:r>
        <w:rPr>
          <w:rFonts w:hint="eastAsia" w:ascii="仿宋" w:hAnsi="仿宋" w:eastAsia="仿宋" w:cs="仿宋"/>
          <w:sz w:val="32"/>
          <w:szCs w:val="32"/>
        </w:rPr>
        <w:t>县级危险化学品应急救援队伍应急装备清单</w:t>
      </w:r>
    </w:p>
    <w:tbl>
      <w:tblPr>
        <w:tblStyle w:val="15"/>
        <w:tblW w:w="4998" w:type="pct"/>
        <w:tblInd w:w="0" w:type="dxa"/>
        <w:tblLayout w:type="fixed"/>
        <w:tblCellMar>
          <w:top w:w="0" w:type="dxa"/>
          <w:left w:w="108" w:type="dxa"/>
          <w:bottom w:w="0" w:type="dxa"/>
          <w:right w:w="108" w:type="dxa"/>
        </w:tblCellMar>
      </w:tblPr>
      <w:tblGrid>
        <w:gridCol w:w="535"/>
        <w:gridCol w:w="547"/>
        <w:gridCol w:w="1068"/>
        <w:gridCol w:w="4474"/>
        <w:gridCol w:w="1895"/>
      </w:tblGrid>
      <w:tr>
        <w:tblPrEx>
          <w:tblCellMar>
            <w:top w:w="0" w:type="dxa"/>
            <w:left w:w="108" w:type="dxa"/>
            <w:bottom w:w="0" w:type="dxa"/>
            <w:right w:w="108" w:type="dxa"/>
          </w:tblCellMar>
        </w:tblPrEx>
        <w:trPr>
          <w:trHeight w:val="810" w:hRule="atLeast"/>
        </w:trPr>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器材类别</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序号</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黑体" w:hAnsi="黑体" w:eastAsia="黑体" w:cs="黑体"/>
                <w:sz w:val="32"/>
                <w:szCs w:val="32"/>
              </w:rPr>
            </w:pPr>
            <w:r>
              <w:rPr>
                <w:rFonts w:hint="eastAsia" w:ascii="黑体" w:hAnsi="黑体" w:eastAsia="黑体" w:cs="黑体"/>
                <w:kern w:val="0"/>
                <w:sz w:val="32"/>
                <w:szCs w:val="32"/>
              </w:rPr>
              <w:t>器材名称</w:t>
            </w:r>
          </w:p>
        </w:tc>
        <w:tc>
          <w:tcPr>
            <w:tcW w:w="1112" w:type="pct"/>
            <w:tcBorders>
              <w:top w:val="single" w:color="000000" w:sz="4" w:space="0"/>
              <w:left w:val="single" w:color="000000" w:sz="4" w:space="0"/>
              <w:bottom w:val="nil"/>
              <w:right w:val="single" w:color="000000" w:sz="4" w:space="0"/>
            </w:tcBorders>
            <w:shd w:val="clear" w:color="auto" w:fill="auto"/>
            <w:vAlign w:val="center"/>
          </w:tcPr>
          <w:p>
            <w:pPr>
              <w:widowControl/>
              <w:spacing w:line="560" w:lineRule="exact"/>
              <w:jc w:val="center"/>
              <w:textAlignment w:val="center"/>
              <w:rPr>
                <w:rFonts w:ascii="黑体" w:hAnsi="黑体" w:eastAsia="黑体" w:cs="黑体"/>
                <w:sz w:val="32"/>
                <w:szCs w:val="32"/>
              </w:rPr>
            </w:pPr>
            <w:r>
              <w:rPr>
                <w:rFonts w:hint="eastAsia" w:ascii="黑体" w:hAnsi="黑体" w:eastAsia="黑体" w:cs="黑体"/>
                <w:kern w:val="0"/>
                <w:sz w:val="32"/>
                <w:szCs w:val="32"/>
              </w:rPr>
              <w:t>实有装备</w:t>
            </w:r>
          </w:p>
        </w:tc>
      </w:tr>
      <w:tr>
        <w:tblPrEx>
          <w:tblCellMar>
            <w:top w:w="0" w:type="dxa"/>
            <w:left w:w="108" w:type="dxa"/>
            <w:bottom w:w="0" w:type="dxa"/>
            <w:right w:w="108" w:type="dxa"/>
          </w:tblCellMar>
        </w:tblPrEx>
        <w:trPr>
          <w:trHeight w:val="360" w:hRule="atLeast"/>
        </w:trPr>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消防员基本防护装备配备标准</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消防头盔</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68</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消防员灭火防护服</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87</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消防手套</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96</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4</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消防安全腰带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51</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5</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消防员灭火防护靴</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77</w:t>
            </w:r>
          </w:p>
        </w:tc>
      </w:tr>
      <w:tr>
        <w:tblPrEx>
          <w:tblCellMar>
            <w:top w:w="0" w:type="dxa"/>
            <w:left w:w="108" w:type="dxa"/>
            <w:bottom w:w="0" w:type="dxa"/>
            <w:right w:w="108" w:type="dxa"/>
          </w:tblCellMar>
        </w:tblPrEx>
        <w:trPr>
          <w:trHeight w:val="37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6</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正压式消防空气呼吸器</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37</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7</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佩戴式防爆照明灯</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44</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8</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消防员呼救器</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35</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9</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应急逃生自救安全绳</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33</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10</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消防腰斧</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50</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11</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消防员灭火防护头套</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30</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12</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防静电内衣</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52</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13</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消防护目镜</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30</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14</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消防员抢险救援头盔</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30</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15</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消防员抢险救援手套</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6</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16</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消防员抢险救援防护服</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64</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17</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护膝、护肘</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18</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18</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消防员抢险救援靴</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30</w:t>
            </w:r>
          </w:p>
        </w:tc>
      </w:tr>
      <w:tr>
        <w:tblPrEx>
          <w:tblCellMar>
            <w:top w:w="0" w:type="dxa"/>
            <w:left w:w="108" w:type="dxa"/>
            <w:bottom w:w="0" w:type="dxa"/>
            <w:right w:w="108" w:type="dxa"/>
          </w:tblCellMar>
        </w:tblPrEx>
        <w:trPr>
          <w:trHeight w:val="425"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sz w:val="28"/>
                <w:szCs w:val="28"/>
              </w:rPr>
              <w:t>19</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手持电台</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33</w:t>
            </w:r>
          </w:p>
        </w:tc>
      </w:tr>
      <w:tr>
        <w:tblPrEx>
          <w:tblCellMar>
            <w:top w:w="0" w:type="dxa"/>
            <w:left w:w="108" w:type="dxa"/>
            <w:bottom w:w="0" w:type="dxa"/>
            <w:right w:w="108" w:type="dxa"/>
          </w:tblCellMar>
        </w:tblPrEx>
        <w:trPr>
          <w:trHeight w:val="425" w:hRule="atLeast"/>
        </w:trPr>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消防员特种防护装备配备标准</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消防员隔热防护服</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17</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消防员避火防护服</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二级化学防护服</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8</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4</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一级化学防护服</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4</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5</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消防员防蜂服</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4</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6</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电绝缘装具</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7</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防静电服</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14</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8</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消防阻燃毛衣</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35</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9</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消防员降温背心</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16</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10</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移动供气源</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475"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11</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正压式消防氧气呼吸器</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4</w:t>
            </w:r>
          </w:p>
        </w:tc>
      </w:tr>
      <w:tr>
        <w:tblPrEx>
          <w:tblCellMar>
            <w:top w:w="0" w:type="dxa"/>
            <w:left w:w="108" w:type="dxa"/>
            <w:bottom w:w="0" w:type="dxa"/>
            <w:right w:w="108" w:type="dxa"/>
          </w:tblCellMar>
        </w:tblPrEx>
        <w:trPr>
          <w:trHeight w:val="425"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12</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消防过滤式综合防毒面具</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28</w:t>
            </w:r>
          </w:p>
        </w:tc>
      </w:tr>
      <w:tr>
        <w:tblPrEx>
          <w:tblCellMar>
            <w:top w:w="0" w:type="dxa"/>
            <w:left w:w="108" w:type="dxa"/>
            <w:bottom w:w="0" w:type="dxa"/>
            <w:right w:w="108" w:type="dxa"/>
          </w:tblCellMar>
        </w:tblPrEx>
        <w:trPr>
          <w:trHeight w:val="9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sz w:val="28"/>
                <w:szCs w:val="28"/>
              </w:rPr>
              <w:t>13</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消防用救生衣</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50</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14</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消防坐式半身安全吊带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16</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15</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消防全身式安全吊带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17</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16</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消防轻型安全绳</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4</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17</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消防通用安全绳</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12</w:t>
            </w:r>
          </w:p>
        </w:tc>
      </w:tr>
      <w:tr>
        <w:tblPrEx>
          <w:tblCellMar>
            <w:top w:w="0" w:type="dxa"/>
            <w:left w:w="108" w:type="dxa"/>
            <w:bottom w:w="0" w:type="dxa"/>
            <w:right w:w="108" w:type="dxa"/>
          </w:tblCellMar>
        </w:tblPrEx>
        <w:trPr>
          <w:trHeight w:val="495"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18</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消防防坠落辅助部件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7</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19</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手提式强光照明灯</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12</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20</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消防用荧光棒</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30</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21</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水域救援漂浮救生绳(米)</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200</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22</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消防员水域救援防护服</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6</w:t>
            </w:r>
          </w:p>
        </w:tc>
      </w:tr>
      <w:tr>
        <w:tblPrEx>
          <w:tblCellMar>
            <w:top w:w="0" w:type="dxa"/>
            <w:left w:w="108" w:type="dxa"/>
            <w:bottom w:w="0" w:type="dxa"/>
            <w:right w:w="108" w:type="dxa"/>
          </w:tblCellMar>
        </w:tblPrEx>
        <w:trPr>
          <w:trHeight w:val="36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23</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消防员水域救援头盔</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6</w:t>
            </w:r>
          </w:p>
        </w:tc>
      </w:tr>
      <w:tr>
        <w:tblPrEx>
          <w:tblCellMar>
            <w:top w:w="0" w:type="dxa"/>
            <w:left w:w="108" w:type="dxa"/>
            <w:bottom w:w="0" w:type="dxa"/>
            <w:right w:w="108" w:type="dxa"/>
          </w:tblCellMar>
        </w:tblPrEx>
        <w:trPr>
          <w:trHeight w:val="36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抢险救援器材配备标准</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侦检器材配备标准</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有毒气体探测仪</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可燃气体检测仪</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漏电探测仪</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4</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测温仪</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5</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隔离警示带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7</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6</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闪光警示灯</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7</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7</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手持扩音器</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8</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各类警示牌</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36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抢险救援器材配备标准</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破拆器材配备标准</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手动破拆工具组</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液压破拆工具组</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机动链锯</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4</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无齿锯</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5</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手持式钢筋速断器</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6</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混凝土液压破拆工具组</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7</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液压千斤顶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4</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8</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液压开门器</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9</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毁锁器</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10</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多功能挠钩</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11</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绝缘剪断钳</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12</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金属弧水陆切割器</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13</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救生照明线</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14</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折叠式担架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15</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多功能担架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16</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消防救生气垫</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17</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救生缓降器</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18</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灭火毯</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10</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19</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医药急救箱</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20</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救援支架</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21</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救生抛投器</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22</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救生软梯</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抢险救援器材配备标准</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堵漏器材配备标准</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外封式堵漏袋</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金属堵漏套管</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注入式堵漏工具</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4</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磁压式堵漏工具</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5</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木制堵漏楔</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6</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无火花工具</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7</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吸附垫</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100</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8</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单人洗消帐篷</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照明、排烟器材配备标准</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移动式排烟机</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移动照明灯组</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w:t>
            </w:r>
          </w:p>
        </w:tc>
        <w:tc>
          <w:tcPr>
            <w:tcW w:w="2625" w:type="pct"/>
            <w:tcBorders>
              <w:top w:val="single" w:color="000000" w:sz="4" w:space="0"/>
              <w:left w:val="single" w:color="000000" w:sz="4" w:space="0"/>
              <w:bottom w:val="single" w:color="000000" w:sz="4" w:space="0"/>
              <w:right w:val="nil"/>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移动发电机</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4</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空气充填泵</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5</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水幕水带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10</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6</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多功能消防水枪</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19</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7</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直流水枪</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20</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8</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灭火救援指挥箱</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9</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单兵图像传输设备</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10</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中压分水器</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11</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异型异径接口</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4</w:t>
            </w:r>
          </w:p>
        </w:tc>
      </w:tr>
      <w:tr>
        <w:tblPrEx>
          <w:tblCellMar>
            <w:top w:w="0" w:type="dxa"/>
            <w:left w:w="108" w:type="dxa"/>
            <w:bottom w:w="0" w:type="dxa"/>
            <w:right w:w="108" w:type="dxa"/>
          </w:tblCellMar>
        </w:tblPrEx>
        <w:trPr>
          <w:trHeight w:val="36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12</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移车器</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4</w:t>
            </w:r>
          </w:p>
        </w:tc>
      </w:tr>
      <w:tr>
        <w:tblPrEx>
          <w:tblCellMar>
            <w:top w:w="0" w:type="dxa"/>
            <w:left w:w="108" w:type="dxa"/>
            <w:bottom w:w="0" w:type="dxa"/>
            <w:right w:w="108" w:type="dxa"/>
          </w:tblCellMar>
        </w:tblPrEx>
        <w:trPr>
          <w:trHeight w:val="1021"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13</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消防用小型飞行器</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r>
      <w:tr>
        <w:tblPrEx>
          <w:tblCellMar>
            <w:top w:w="0" w:type="dxa"/>
            <w:left w:w="108" w:type="dxa"/>
            <w:bottom w:w="0" w:type="dxa"/>
            <w:right w:w="108" w:type="dxa"/>
          </w:tblCellMar>
        </w:tblPrEx>
        <w:trPr>
          <w:trHeight w:val="385" w:hRule="atLeast"/>
        </w:trPr>
        <w:tc>
          <w:tcPr>
            <w:tcW w:w="635" w:type="pct"/>
            <w:gridSpan w:val="2"/>
            <w:vMerge w:val="restart"/>
            <w:tcBorders>
              <w:top w:val="nil"/>
              <w:left w:val="single" w:color="000000" w:sz="4" w:space="0"/>
              <w:bottom w:val="single" w:color="000000" w:sz="4" w:space="0"/>
              <w:right w:val="nil"/>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灭火器材配备标准（按一级站、二级站、小型站、特勤站统计，无备份比）</w:t>
            </w:r>
          </w:p>
        </w:tc>
        <w:tc>
          <w:tcPr>
            <w:tcW w:w="3252" w:type="pct"/>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器材名称</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360" w:hRule="atLeast"/>
        </w:trPr>
        <w:tc>
          <w:tcPr>
            <w:tcW w:w="635" w:type="pct"/>
            <w:gridSpan w:val="2"/>
            <w:vMerge w:val="continue"/>
            <w:tcBorders>
              <w:top w:val="nil"/>
              <w:left w:val="single" w:color="000000" w:sz="4" w:space="0"/>
              <w:bottom w:val="single" w:color="000000" w:sz="4" w:space="0"/>
              <w:right w:val="nil"/>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w:t>
            </w:r>
          </w:p>
        </w:tc>
        <w:tc>
          <w:tcPr>
            <w:tcW w:w="26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560" w:lineRule="exact"/>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机动消防泵(含手抬泵、浮艇泵)</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360" w:hRule="atLeast"/>
        </w:trPr>
        <w:tc>
          <w:tcPr>
            <w:tcW w:w="635" w:type="pct"/>
            <w:gridSpan w:val="2"/>
            <w:vMerge w:val="continue"/>
            <w:tcBorders>
              <w:top w:val="nil"/>
              <w:left w:val="single" w:color="000000" w:sz="4" w:space="0"/>
              <w:bottom w:val="single" w:color="000000" w:sz="4" w:space="0"/>
              <w:right w:val="nil"/>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c>
          <w:tcPr>
            <w:tcW w:w="262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560" w:lineRule="exact"/>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移动式水带卷盘或水带槽</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360" w:hRule="atLeast"/>
        </w:trPr>
        <w:tc>
          <w:tcPr>
            <w:tcW w:w="635" w:type="pct"/>
            <w:gridSpan w:val="2"/>
            <w:vMerge w:val="continue"/>
            <w:tcBorders>
              <w:top w:val="nil"/>
              <w:left w:val="single" w:color="000000" w:sz="4" w:space="0"/>
              <w:bottom w:val="single" w:color="000000" w:sz="4" w:space="0"/>
              <w:right w:val="nil"/>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60" w:lineRule="exact"/>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移动式消防炮（手动炮、遥控炮、自摆炮等）</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w:t>
            </w:r>
          </w:p>
        </w:tc>
      </w:tr>
      <w:tr>
        <w:tblPrEx>
          <w:tblCellMar>
            <w:top w:w="0" w:type="dxa"/>
            <w:left w:w="108" w:type="dxa"/>
            <w:bottom w:w="0" w:type="dxa"/>
            <w:right w:w="108" w:type="dxa"/>
          </w:tblCellMar>
        </w:tblPrEx>
        <w:trPr>
          <w:trHeight w:val="360" w:hRule="atLeast"/>
        </w:trPr>
        <w:tc>
          <w:tcPr>
            <w:tcW w:w="635" w:type="pct"/>
            <w:gridSpan w:val="2"/>
            <w:vMerge w:val="continue"/>
            <w:tcBorders>
              <w:top w:val="nil"/>
              <w:left w:val="single" w:color="000000" w:sz="4" w:space="0"/>
              <w:bottom w:val="single" w:color="000000" w:sz="4" w:space="0"/>
              <w:right w:val="nil"/>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4</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60" w:lineRule="exact"/>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泡沫比例混合器、泡沫液桶、泡沫枪</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360" w:hRule="atLeast"/>
        </w:trPr>
        <w:tc>
          <w:tcPr>
            <w:tcW w:w="635" w:type="pct"/>
            <w:gridSpan w:val="2"/>
            <w:vMerge w:val="continue"/>
            <w:tcBorders>
              <w:top w:val="nil"/>
              <w:left w:val="single" w:color="000000" w:sz="4" w:space="0"/>
              <w:bottom w:val="single" w:color="000000" w:sz="4" w:space="0"/>
              <w:right w:val="nil"/>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5</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60" w:lineRule="exact"/>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二节拉梯</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4</w:t>
            </w:r>
          </w:p>
        </w:tc>
      </w:tr>
      <w:tr>
        <w:tblPrEx>
          <w:tblCellMar>
            <w:top w:w="0" w:type="dxa"/>
            <w:left w:w="108" w:type="dxa"/>
            <w:bottom w:w="0" w:type="dxa"/>
            <w:right w:w="108" w:type="dxa"/>
          </w:tblCellMar>
        </w:tblPrEx>
        <w:trPr>
          <w:trHeight w:val="360" w:hRule="atLeast"/>
        </w:trPr>
        <w:tc>
          <w:tcPr>
            <w:tcW w:w="635" w:type="pct"/>
            <w:gridSpan w:val="2"/>
            <w:vMerge w:val="continue"/>
            <w:tcBorders>
              <w:top w:val="nil"/>
              <w:left w:val="single" w:color="000000" w:sz="4" w:space="0"/>
              <w:bottom w:val="single" w:color="000000" w:sz="4" w:space="0"/>
              <w:right w:val="nil"/>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6</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60" w:lineRule="exact"/>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三节拉梯</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2</w:t>
            </w:r>
          </w:p>
        </w:tc>
      </w:tr>
      <w:tr>
        <w:tblPrEx>
          <w:tblCellMar>
            <w:top w:w="0" w:type="dxa"/>
            <w:left w:w="108" w:type="dxa"/>
            <w:bottom w:w="0" w:type="dxa"/>
            <w:right w:w="108" w:type="dxa"/>
          </w:tblCellMar>
        </w:tblPrEx>
        <w:trPr>
          <w:trHeight w:val="360" w:hRule="atLeast"/>
        </w:trPr>
        <w:tc>
          <w:tcPr>
            <w:tcW w:w="635" w:type="pct"/>
            <w:gridSpan w:val="2"/>
            <w:vMerge w:val="continue"/>
            <w:tcBorders>
              <w:top w:val="nil"/>
              <w:left w:val="single" w:color="000000" w:sz="4" w:space="0"/>
              <w:bottom w:val="single" w:color="000000" w:sz="4" w:space="0"/>
              <w:right w:val="nil"/>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7</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60" w:lineRule="exact"/>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挂钩梯</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3</w:t>
            </w:r>
          </w:p>
        </w:tc>
      </w:tr>
      <w:tr>
        <w:tblPrEx>
          <w:tblCellMar>
            <w:top w:w="0" w:type="dxa"/>
            <w:left w:w="108" w:type="dxa"/>
            <w:bottom w:w="0" w:type="dxa"/>
            <w:right w:w="108" w:type="dxa"/>
          </w:tblCellMar>
        </w:tblPrEx>
        <w:trPr>
          <w:trHeight w:val="360" w:hRule="atLeast"/>
        </w:trPr>
        <w:tc>
          <w:tcPr>
            <w:tcW w:w="635" w:type="pct"/>
            <w:gridSpan w:val="2"/>
            <w:vMerge w:val="continue"/>
            <w:tcBorders>
              <w:top w:val="nil"/>
              <w:left w:val="single" w:color="000000" w:sz="4" w:space="0"/>
              <w:bottom w:val="single" w:color="000000" w:sz="4" w:space="0"/>
              <w:right w:val="nil"/>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8</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60" w:lineRule="exact"/>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低压水带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130</w:t>
            </w:r>
          </w:p>
        </w:tc>
      </w:tr>
      <w:tr>
        <w:tblPrEx>
          <w:tblCellMar>
            <w:top w:w="0" w:type="dxa"/>
            <w:left w:w="108" w:type="dxa"/>
            <w:bottom w:w="0" w:type="dxa"/>
            <w:right w:w="108" w:type="dxa"/>
          </w:tblCellMar>
        </w:tblPrEx>
        <w:trPr>
          <w:trHeight w:val="360" w:hRule="atLeast"/>
        </w:trPr>
        <w:tc>
          <w:tcPr>
            <w:tcW w:w="635" w:type="pct"/>
            <w:gridSpan w:val="2"/>
            <w:vMerge w:val="continue"/>
            <w:tcBorders>
              <w:top w:val="nil"/>
              <w:left w:val="single" w:color="000000" w:sz="4" w:space="0"/>
              <w:bottom w:val="single" w:color="000000" w:sz="4" w:space="0"/>
              <w:right w:val="nil"/>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9</w:t>
            </w:r>
          </w:p>
        </w:tc>
        <w:tc>
          <w:tcPr>
            <w:tcW w:w="262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560" w:lineRule="exact"/>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中压水带</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15</w:t>
            </w:r>
          </w:p>
        </w:tc>
      </w:tr>
      <w:tr>
        <w:tblPrEx>
          <w:tblCellMar>
            <w:top w:w="0" w:type="dxa"/>
            <w:left w:w="108" w:type="dxa"/>
            <w:bottom w:w="0" w:type="dxa"/>
            <w:right w:w="108" w:type="dxa"/>
          </w:tblCellMar>
        </w:tblPrEx>
        <w:trPr>
          <w:trHeight w:val="360" w:hRule="atLeast"/>
        </w:trPr>
        <w:tc>
          <w:tcPr>
            <w:tcW w:w="635" w:type="pct"/>
            <w:gridSpan w:val="2"/>
            <w:vMerge w:val="continue"/>
            <w:tcBorders>
              <w:top w:val="nil"/>
              <w:left w:val="single" w:color="000000" w:sz="4" w:space="0"/>
              <w:bottom w:val="single" w:color="000000" w:sz="4" w:space="0"/>
              <w:right w:val="nil"/>
            </w:tcBorders>
            <w:shd w:val="clear" w:color="auto" w:fill="auto"/>
            <w:vAlign w:val="center"/>
          </w:tcPr>
          <w:p>
            <w:pPr>
              <w:spacing w:line="560" w:lineRule="exact"/>
              <w:jc w:val="center"/>
              <w:rPr>
                <w:rFonts w:ascii="仿宋_GB2312" w:hAnsi="仿宋_GB2312" w:eastAsia="仿宋_GB2312" w:cs="仿宋_GB2312"/>
                <w:sz w:val="28"/>
                <w:szCs w:val="28"/>
              </w:rPr>
            </w:pPr>
          </w:p>
        </w:tc>
        <w:tc>
          <w:tcPr>
            <w:tcW w:w="627" w:type="pct"/>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10</w:t>
            </w:r>
          </w:p>
        </w:tc>
        <w:tc>
          <w:tcPr>
            <w:tcW w:w="2625" w:type="pct"/>
            <w:tcBorders>
              <w:top w:val="single" w:color="000000" w:sz="4" w:space="0"/>
              <w:left w:val="single" w:color="000000" w:sz="4" w:space="0"/>
              <w:bottom w:val="single" w:color="000000" w:sz="8" w:space="0"/>
              <w:right w:val="nil"/>
            </w:tcBorders>
            <w:shd w:val="clear" w:color="auto" w:fill="auto"/>
            <w:vAlign w:val="bottom"/>
          </w:tcPr>
          <w:p>
            <w:pPr>
              <w:widowControl/>
              <w:spacing w:line="560" w:lineRule="exact"/>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消火栓扳手、水枪、分水器以及接口、包布、护桥、挂钩、墙角保护器等常规器材工具</w:t>
            </w:r>
          </w:p>
        </w:tc>
        <w:tc>
          <w:tcPr>
            <w:tcW w:w="1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仿宋_GB2312" w:hAnsi="仿宋_GB2312" w:eastAsia="仿宋_GB2312" w:cs="仿宋_GB2312"/>
                <w:sz w:val="28"/>
                <w:szCs w:val="28"/>
              </w:rPr>
            </w:pPr>
            <w:r>
              <w:rPr>
                <w:rFonts w:ascii="Times New Roman" w:hAnsi="Times New Roman" w:eastAsia="仿宋_GB2312" w:cs="Times New Roman"/>
                <w:kern w:val="0"/>
                <w:sz w:val="28"/>
                <w:szCs w:val="28"/>
              </w:rPr>
              <w:t>58</w:t>
            </w:r>
          </w:p>
        </w:tc>
      </w:tr>
    </w:tbl>
    <w:p>
      <w:pPr>
        <w:pStyle w:val="5"/>
        <w:spacing w:beforeAutospacing="0" w:afterAutospacing="0" w:line="560" w:lineRule="exact"/>
        <w:rPr>
          <w:rFonts w:hint="default"/>
          <w:b w:val="0"/>
          <w:szCs w:val="32"/>
        </w:rPr>
        <w:sectPr>
          <w:pgSz w:w="11906" w:h="16838"/>
          <w:pgMar w:top="1440" w:right="1800" w:bottom="1440" w:left="1800" w:header="851" w:footer="992" w:gutter="0"/>
          <w:cols w:space="425" w:num="1"/>
          <w:docGrid w:type="lines" w:linePitch="312" w:charSpace="0"/>
        </w:sectPr>
      </w:pPr>
      <w:bookmarkStart w:id="77" w:name="_Toc29634"/>
    </w:p>
    <w:p>
      <w:pPr>
        <w:pStyle w:val="5"/>
        <w:spacing w:beforeAutospacing="0" w:afterAutospacing="0" w:line="560" w:lineRule="exact"/>
        <w:ind w:firstLine="642" w:firstLineChars="200"/>
        <w:rPr>
          <w:rFonts w:hint="default" w:ascii="仿宋_GB2312" w:hAnsi="仿宋_GB2312" w:eastAsia="仿宋_GB2312" w:cs="仿宋_GB2312"/>
          <w:bCs/>
          <w:szCs w:val="32"/>
        </w:rPr>
      </w:pPr>
      <w:r>
        <w:rPr>
          <w:rFonts w:hint="default" w:ascii="Times New Roman" w:hAnsi="Times New Roman" w:eastAsia="仿宋_GB2312"/>
          <w:bCs/>
          <w:szCs w:val="32"/>
        </w:rPr>
        <w:t>9</w:t>
      </w:r>
      <w:r>
        <w:rPr>
          <w:rFonts w:ascii="仿宋_GB2312" w:hAnsi="仿宋_GB2312" w:eastAsia="仿宋_GB2312" w:cs="仿宋_GB2312"/>
          <w:bCs/>
          <w:szCs w:val="32"/>
        </w:rPr>
        <w:t>.</w:t>
      </w:r>
      <w:r>
        <w:rPr>
          <w:rFonts w:hint="default" w:ascii="Times New Roman" w:hAnsi="Times New Roman" w:eastAsia="仿宋_GB2312"/>
          <w:bCs/>
          <w:szCs w:val="32"/>
        </w:rPr>
        <w:t>2</w:t>
      </w:r>
      <w:r>
        <w:rPr>
          <w:rFonts w:ascii="仿宋_GB2312" w:hAnsi="仿宋_GB2312" w:eastAsia="仿宋_GB2312" w:cs="仿宋_GB2312"/>
          <w:bCs/>
          <w:szCs w:val="32"/>
        </w:rPr>
        <w:t>.</w:t>
      </w:r>
      <w:r>
        <w:rPr>
          <w:rFonts w:hint="default" w:ascii="Times New Roman" w:hAnsi="Times New Roman" w:eastAsia="仿宋_GB2312"/>
          <w:bCs/>
          <w:szCs w:val="32"/>
        </w:rPr>
        <w:t>3</w:t>
      </w:r>
      <w:r>
        <w:rPr>
          <w:rFonts w:ascii="仿宋_GB2312" w:hAnsi="仿宋_GB2312" w:eastAsia="仿宋_GB2312" w:cs="仿宋_GB2312"/>
          <w:bCs/>
          <w:szCs w:val="32"/>
        </w:rPr>
        <w:t>应急救援专家建设</w:t>
      </w:r>
      <w:bookmarkEnd w:id="7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县安全生产委员会建立了安全生产专家库，其中危险化学品事故应急救援专家</w:t>
      </w:r>
      <w:r>
        <w:rPr>
          <w:rFonts w:ascii="Times New Roman" w:hAnsi="Times New Roman" w:eastAsia="仿宋_GB2312" w:cs="Times New Roman"/>
          <w:sz w:val="32"/>
          <w:szCs w:val="32"/>
        </w:rPr>
        <w:t>32</w:t>
      </w:r>
      <w:r>
        <w:rPr>
          <w:rFonts w:hint="eastAsia" w:ascii="仿宋_GB2312" w:hAnsi="仿宋_GB2312" w:eastAsia="仿宋_GB2312" w:cs="仿宋_GB2312"/>
          <w:sz w:val="32"/>
          <w:szCs w:val="32"/>
        </w:rPr>
        <w:t>名，为危险化学品事故应急处置提供有力的技术支撑。</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融安县危险化学品事故应急救援专家名单</w:t>
      </w:r>
    </w:p>
    <w:tbl>
      <w:tblPr>
        <w:tblStyle w:val="15"/>
        <w:tblW w:w="4996" w:type="pct"/>
        <w:tblInd w:w="0" w:type="dxa"/>
        <w:tblLayout w:type="fixed"/>
        <w:tblCellMar>
          <w:top w:w="0" w:type="dxa"/>
          <w:left w:w="108" w:type="dxa"/>
          <w:bottom w:w="0" w:type="dxa"/>
          <w:right w:w="108" w:type="dxa"/>
        </w:tblCellMar>
      </w:tblPr>
      <w:tblGrid>
        <w:gridCol w:w="701"/>
        <w:gridCol w:w="1202"/>
        <w:gridCol w:w="488"/>
        <w:gridCol w:w="1369"/>
        <w:gridCol w:w="2063"/>
        <w:gridCol w:w="1168"/>
        <w:gridCol w:w="1286"/>
        <w:gridCol w:w="1558"/>
        <w:gridCol w:w="1235"/>
        <w:gridCol w:w="1198"/>
        <w:gridCol w:w="1895"/>
      </w:tblGrid>
      <w:tr>
        <w:tblPrEx>
          <w:tblCellMar>
            <w:top w:w="0" w:type="dxa"/>
            <w:left w:w="108" w:type="dxa"/>
            <w:bottom w:w="0" w:type="dxa"/>
            <w:right w:w="108" w:type="dxa"/>
          </w:tblCellMar>
        </w:tblPrEx>
        <w:trPr>
          <w:cantSplit/>
          <w:tblHeader/>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序号</w:t>
            </w:r>
          </w:p>
        </w:tc>
        <w:tc>
          <w:tcPr>
            <w:tcW w:w="424"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姓名</w:t>
            </w:r>
          </w:p>
        </w:tc>
        <w:tc>
          <w:tcPr>
            <w:tcW w:w="172"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性别</w:t>
            </w:r>
          </w:p>
        </w:tc>
        <w:tc>
          <w:tcPr>
            <w:tcW w:w="483"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出生年月</w:t>
            </w:r>
          </w:p>
        </w:tc>
        <w:tc>
          <w:tcPr>
            <w:tcW w:w="727"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工作单位</w:t>
            </w:r>
          </w:p>
        </w:tc>
        <w:tc>
          <w:tcPr>
            <w:tcW w:w="412"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职务</w:t>
            </w:r>
          </w:p>
        </w:tc>
        <w:tc>
          <w:tcPr>
            <w:tcW w:w="454"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职称</w:t>
            </w:r>
          </w:p>
        </w:tc>
        <w:tc>
          <w:tcPr>
            <w:tcW w:w="550"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职业资格</w:t>
            </w:r>
          </w:p>
        </w:tc>
        <w:tc>
          <w:tcPr>
            <w:tcW w:w="436"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学历</w:t>
            </w:r>
          </w:p>
        </w:tc>
        <w:tc>
          <w:tcPr>
            <w:tcW w:w="423"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特长</w:t>
            </w:r>
          </w:p>
        </w:tc>
        <w:tc>
          <w:tcPr>
            <w:tcW w:w="668"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联系</w:t>
            </w:r>
          </w:p>
          <w:p>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电话</w:t>
            </w:r>
          </w:p>
        </w:tc>
      </w:tr>
      <w:tr>
        <w:tblPrEx>
          <w:tblCellMar>
            <w:top w:w="0" w:type="dxa"/>
            <w:left w:w="108" w:type="dxa"/>
            <w:bottom w:w="0" w:type="dxa"/>
            <w:right w:w="108" w:type="dxa"/>
          </w:tblCellMar>
        </w:tblPrEx>
        <w:trPr>
          <w:cantSplit/>
          <w:trHeight w:val="817" w:hRule="atLeas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1</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李瑜</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1982</w:t>
            </w:r>
            <w:r>
              <w:rPr>
                <w:rFonts w:hint="eastAsia" w:ascii="仿宋_GB2312" w:hAnsi="仿宋" w:eastAsia="仿宋_GB2312" w:cs="黑体"/>
                <w:sz w:val="28"/>
                <w:szCs w:val="28"/>
              </w:rPr>
              <w:t>.</w:t>
            </w:r>
            <w:r>
              <w:rPr>
                <w:rFonts w:ascii="Times New Roman" w:hAnsi="Times New Roman" w:eastAsia="仿宋_GB2312" w:cs="Times New Roman"/>
                <w:sz w:val="28"/>
                <w:szCs w:val="28"/>
              </w:rPr>
              <w:t>05</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柳州市恒泰气体股份有限公司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副总经理</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机械、化工</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13597259328</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2</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陈永红</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1971</w:t>
            </w:r>
            <w:r>
              <w:rPr>
                <w:rFonts w:hint="eastAsia" w:ascii="仿宋_GB2312" w:hAnsi="仿宋" w:eastAsia="仿宋_GB2312" w:cs="黑体"/>
                <w:sz w:val="28"/>
                <w:szCs w:val="28"/>
              </w:rPr>
              <w:t>.</w:t>
            </w:r>
            <w:r>
              <w:rPr>
                <w:rFonts w:ascii="Times New Roman" w:hAnsi="Times New Roman" w:eastAsia="仿宋_GB2312" w:cs="Times New Roman"/>
                <w:sz w:val="28"/>
                <w:szCs w:val="28"/>
              </w:rPr>
              <w:t>12</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广西柳州钢铁集团有限公司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科长</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冶金、危化品、应急救援</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13977287030</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3</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周玉炼</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1971</w:t>
            </w:r>
            <w:r>
              <w:rPr>
                <w:rFonts w:hint="eastAsia" w:ascii="仿宋_GB2312" w:hAnsi="仿宋" w:eastAsia="仿宋_GB2312" w:cs="黑体"/>
                <w:sz w:val="28"/>
                <w:szCs w:val="28"/>
              </w:rPr>
              <w:t>.</w:t>
            </w:r>
            <w:r>
              <w:rPr>
                <w:rFonts w:ascii="Times New Roman" w:hAnsi="Times New Roman" w:eastAsia="仿宋_GB2312" w:cs="Times New Roman"/>
                <w:sz w:val="28"/>
                <w:szCs w:val="28"/>
              </w:rPr>
              <w:t>08</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广西柳州钢铁集团有限公司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科长</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高级工程师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研究生</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冶金、危化品、应急救援</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13507724329</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4</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杨友平</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1966</w:t>
            </w:r>
            <w:r>
              <w:rPr>
                <w:rFonts w:hint="eastAsia" w:ascii="仿宋_GB2312" w:hAnsi="仿宋" w:eastAsia="仿宋_GB2312" w:cs="黑体"/>
                <w:sz w:val="28"/>
                <w:szCs w:val="28"/>
              </w:rPr>
              <w:t>.</w:t>
            </w:r>
            <w:r>
              <w:rPr>
                <w:rFonts w:ascii="Times New Roman" w:hAnsi="Times New Roman" w:eastAsia="仿宋_GB2312" w:cs="Times New Roman"/>
                <w:sz w:val="28"/>
                <w:szCs w:val="28"/>
              </w:rPr>
              <w:t>08</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广西柳州银海铝业股份有限公司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安环部经理</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高级工程师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注册监理工程师</w:t>
            </w:r>
          </w:p>
        </w:tc>
        <w:tc>
          <w:tcPr>
            <w:tcW w:w="436"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冶金、化工</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13707728017</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5</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王建喜</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1971</w:t>
            </w:r>
            <w:r>
              <w:rPr>
                <w:rFonts w:hint="eastAsia" w:ascii="仿宋_GB2312" w:hAnsi="仿宋" w:eastAsia="仿宋_GB2312" w:cs="黑体"/>
                <w:sz w:val="28"/>
                <w:szCs w:val="28"/>
              </w:rPr>
              <w:t>.</w:t>
            </w:r>
            <w:r>
              <w:rPr>
                <w:rFonts w:ascii="Times New Roman" w:hAnsi="Times New Roman" w:eastAsia="仿宋_GB2312" w:cs="Times New Roman"/>
                <w:sz w:val="28"/>
                <w:szCs w:val="28"/>
              </w:rPr>
              <w:t>10</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广西本质安全技术咨询有限公司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经济师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化工，道路运输</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13768699186</w:t>
            </w:r>
          </w:p>
        </w:tc>
      </w:tr>
      <w:tr>
        <w:tblPrEx>
          <w:tblCellMar>
            <w:top w:w="0" w:type="dxa"/>
            <w:left w:w="108" w:type="dxa"/>
            <w:bottom w:w="0" w:type="dxa"/>
            <w:right w:w="108" w:type="dxa"/>
          </w:tblCellMar>
        </w:tblPrEx>
        <w:trPr>
          <w:cantSplit/>
          <w:trHeight w:val="1094" w:hRule="atLeas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6</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李明海</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1976</w:t>
            </w:r>
            <w:r>
              <w:rPr>
                <w:rFonts w:hint="eastAsia" w:ascii="仿宋_GB2312" w:hAnsi="仿宋" w:eastAsia="仿宋_GB2312" w:cs="黑体"/>
                <w:sz w:val="28"/>
                <w:szCs w:val="28"/>
              </w:rPr>
              <w:t>.</w:t>
            </w:r>
            <w:r>
              <w:rPr>
                <w:rFonts w:ascii="Times New Roman" w:hAnsi="Times New Roman" w:eastAsia="仿宋_GB2312" w:cs="Times New Roman"/>
                <w:sz w:val="28"/>
                <w:szCs w:val="28"/>
              </w:rPr>
              <w:t>4</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广西本质安全技术咨询有限公司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总经理</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注册安全工程师，注册安全评价师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化工、机械、应急救援</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13597220596</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7</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李杰</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1988</w:t>
            </w:r>
            <w:r>
              <w:rPr>
                <w:rFonts w:hint="eastAsia" w:ascii="仿宋_GB2312" w:hAnsi="仿宋" w:eastAsia="仿宋_GB2312" w:cs="黑体"/>
                <w:sz w:val="28"/>
                <w:szCs w:val="28"/>
              </w:rPr>
              <w:t>.</w:t>
            </w:r>
            <w:r>
              <w:rPr>
                <w:rFonts w:ascii="Times New Roman" w:hAnsi="Times New Roman" w:eastAsia="仿宋_GB2312" w:cs="Times New Roman"/>
                <w:sz w:val="28"/>
                <w:szCs w:val="28"/>
              </w:rPr>
              <w:t>10</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广西柳州市东城投资开发集团有限公司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副经理</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hint="eastAsia" w:ascii="仿宋_GB2312" w:hAnsi="仿宋" w:eastAsia="仿宋_GB2312" w:cs="黑体"/>
                <w:sz w:val="28"/>
                <w:szCs w:val="28"/>
              </w:rPr>
              <w:t>化工储运工程</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17707727728</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8</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杨滨</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1963</w:t>
            </w:r>
            <w:r>
              <w:rPr>
                <w:rFonts w:hint="eastAsia" w:ascii="仿宋_GB2312" w:hAnsi="仿宋" w:eastAsia="仿宋_GB2312" w:cs="黑体"/>
                <w:sz w:val="28"/>
                <w:szCs w:val="28"/>
              </w:rPr>
              <w:t>.</w:t>
            </w:r>
            <w:r>
              <w:rPr>
                <w:rFonts w:ascii="Times New Roman" w:hAnsi="Times New Roman" w:eastAsia="仿宋_GB2312" w:cs="Times New Roman"/>
                <w:sz w:val="28"/>
                <w:szCs w:val="28"/>
              </w:rPr>
              <w:t>09</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原柳化氯碱有限公司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黑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大专</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危化品应急处置和安全技术管理</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13978061552</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9</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龚文</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1968</w:t>
            </w:r>
            <w:r>
              <w:rPr>
                <w:rFonts w:hint="eastAsia" w:ascii="仿宋_GB2312" w:hAnsi="仿宋" w:eastAsia="仿宋_GB2312" w:cs="黑体"/>
                <w:sz w:val="28"/>
                <w:szCs w:val="28"/>
              </w:rPr>
              <w:t>.</w:t>
            </w:r>
            <w:r>
              <w:rPr>
                <w:rFonts w:ascii="Times New Roman" w:hAnsi="Times New Roman" w:eastAsia="仿宋_GB2312" w:cs="Times New Roman"/>
                <w:sz w:val="28"/>
                <w:szCs w:val="28"/>
              </w:rPr>
              <w:t>2</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原广西柳州化工股份有限公司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危化品应用基础管理和安全技术管理</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13407899060</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10</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梁全才</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1974</w:t>
            </w:r>
            <w:r>
              <w:rPr>
                <w:rFonts w:hint="eastAsia" w:ascii="仿宋_GB2312" w:hAnsi="仿宋" w:eastAsia="仿宋_GB2312" w:cs="黑体"/>
                <w:sz w:val="28"/>
                <w:szCs w:val="28"/>
              </w:rPr>
              <w:t>.</w:t>
            </w:r>
            <w:r>
              <w:rPr>
                <w:rFonts w:ascii="Times New Roman" w:hAnsi="Times New Roman" w:eastAsia="仿宋_GB2312" w:cs="Times New Roman"/>
                <w:sz w:val="28"/>
                <w:szCs w:val="28"/>
              </w:rPr>
              <w:t>10</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广西柳化氯碱有限公司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安全部长</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大专</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危化品应急处置和安全管理</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13557906766</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11</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黄伟锋</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1978</w:t>
            </w:r>
            <w:r>
              <w:rPr>
                <w:rFonts w:hint="eastAsia" w:ascii="仿宋_GB2312" w:hAnsi="仿宋" w:eastAsia="仿宋_GB2312" w:cs="黑体"/>
                <w:sz w:val="28"/>
                <w:szCs w:val="28"/>
              </w:rPr>
              <w:t>.</w:t>
            </w:r>
            <w:r>
              <w:rPr>
                <w:rFonts w:ascii="Times New Roman" w:hAnsi="Times New Roman" w:eastAsia="仿宋_GB2312" w:cs="Times New Roman"/>
                <w:sz w:val="28"/>
                <w:szCs w:val="28"/>
              </w:rPr>
              <w:t>11</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广西柳州钢铁集团有限公司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安全部长</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高级工程师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在职研究生</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化工</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13737254309</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12</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廖斌</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1976</w:t>
            </w:r>
            <w:r>
              <w:rPr>
                <w:rFonts w:hint="eastAsia" w:ascii="仿宋_GB2312" w:hAnsi="仿宋" w:eastAsia="仿宋_GB2312" w:cs="黑体"/>
                <w:sz w:val="28"/>
                <w:szCs w:val="28"/>
              </w:rPr>
              <w:t>.</w:t>
            </w:r>
            <w:r>
              <w:rPr>
                <w:rFonts w:ascii="Times New Roman" w:hAnsi="Times New Roman" w:eastAsia="仿宋_GB2312" w:cs="Times New Roman"/>
                <w:sz w:val="28"/>
                <w:szCs w:val="28"/>
              </w:rPr>
              <w:t>03</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广西柳州市产业投资发展集团有限公司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副部长</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化工工艺、安全管理</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15807720696</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13</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盘仲辉</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1973</w:t>
            </w:r>
            <w:r>
              <w:rPr>
                <w:rFonts w:hint="eastAsia" w:ascii="仿宋_GB2312" w:hAnsi="仿宋" w:eastAsia="仿宋_GB2312" w:cs="黑体"/>
                <w:sz w:val="28"/>
                <w:szCs w:val="28"/>
              </w:rPr>
              <w:t>.</w:t>
            </w:r>
            <w:r>
              <w:rPr>
                <w:rFonts w:ascii="Times New Roman" w:hAnsi="Times New Roman" w:eastAsia="仿宋_GB2312" w:cs="Times New Roman"/>
                <w:sz w:val="28"/>
                <w:szCs w:val="28"/>
              </w:rPr>
              <w:t>11</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柳州仁辉安全环保科技有限公司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总经理</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注册安全工程师、安全评价师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危险化学品安全技术与管理、冶金</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15577230370</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14</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覃俊旭</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1979</w:t>
            </w:r>
            <w:r>
              <w:rPr>
                <w:rFonts w:hint="eastAsia" w:ascii="仿宋_GB2312" w:hAnsi="仿宋" w:eastAsia="仿宋_GB2312" w:cs="黑体"/>
                <w:sz w:val="28"/>
                <w:szCs w:val="28"/>
              </w:rPr>
              <w:t>.</w:t>
            </w:r>
            <w:r>
              <w:rPr>
                <w:rFonts w:ascii="Times New Roman" w:hAnsi="Times New Roman" w:eastAsia="仿宋_GB2312" w:cs="Times New Roman"/>
                <w:sz w:val="28"/>
                <w:szCs w:val="28"/>
              </w:rPr>
              <w:t>05</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柳州仁辉安全环保科技有限公司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安全工程师</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危险化学品安全技术与管理</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15877255576</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15</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谢柳生</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1972</w:t>
            </w:r>
            <w:r>
              <w:rPr>
                <w:rFonts w:hint="eastAsia" w:ascii="仿宋_GB2312" w:hAnsi="仿宋" w:eastAsia="仿宋_GB2312" w:cs="黑体"/>
                <w:sz w:val="28"/>
                <w:szCs w:val="28"/>
              </w:rPr>
              <w:t>.</w:t>
            </w:r>
            <w:r>
              <w:rPr>
                <w:rFonts w:ascii="Times New Roman" w:hAnsi="Times New Roman" w:eastAsia="仿宋_GB2312" w:cs="Times New Roman"/>
                <w:sz w:val="28"/>
                <w:szCs w:val="28"/>
              </w:rPr>
              <w:t>05</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广西柳州钢铁集团有限公司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安监室主任</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高级工程师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研究生</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金属冶炼与煤气安全</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13977285827</w:t>
            </w:r>
          </w:p>
        </w:tc>
      </w:tr>
      <w:tr>
        <w:tblPrEx>
          <w:tblCellMar>
            <w:top w:w="0" w:type="dxa"/>
            <w:left w:w="108" w:type="dxa"/>
            <w:bottom w:w="0" w:type="dxa"/>
            <w:right w:w="108" w:type="dxa"/>
          </w:tblCellMar>
        </w:tblPrEx>
        <w:trPr>
          <w:cantSplit/>
          <w:trHeight w:val="745" w:hRule="atLeas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16</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何正仕</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1968</w:t>
            </w:r>
            <w:r>
              <w:rPr>
                <w:rFonts w:hint="eastAsia" w:ascii="仿宋_GB2312" w:hAnsi="仿宋" w:eastAsia="仿宋_GB2312" w:cs="黑体"/>
                <w:sz w:val="28"/>
                <w:szCs w:val="28"/>
              </w:rPr>
              <w:t>.</w:t>
            </w:r>
            <w:r>
              <w:rPr>
                <w:rFonts w:ascii="Times New Roman" w:hAnsi="Times New Roman" w:eastAsia="仿宋_GB2312" w:cs="Times New Roman"/>
                <w:sz w:val="28"/>
                <w:szCs w:val="28"/>
              </w:rPr>
              <w:t>10</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广西柳州钢铁集团有限公司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车间支部书记兼副主任</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大专</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安全管理</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13457237890</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17</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宁常红</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女</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1966</w:t>
            </w:r>
            <w:r>
              <w:rPr>
                <w:rFonts w:hint="eastAsia" w:ascii="仿宋_GB2312" w:hAnsi="仿宋" w:eastAsia="仿宋_GB2312" w:cs="黑体"/>
                <w:sz w:val="28"/>
                <w:szCs w:val="28"/>
              </w:rPr>
              <w:t>.</w:t>
            </w:r>
            <w:r>
              <w:rPr>
                <w:rFonts w:ascii="Times New Roman" w:hAnsi="Times New Roman" w:eastAsia="仿宋_GB2312" w:cs="Times New Roman"/>
                <w:sz w:val="28"/>
                <w:szCs w:val="28"/>
              </w:rPr>
              <w:t>02</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原广西柳州钢铁集团有限公司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高级工程师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化工仪表及自动化系统应用和实施</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13977216488</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18</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尹保国</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1974</w:t>
            </w:r>
            <w:r>
              <w:rPr>
                <w:rFonts w:hint="eastAsia" w:ascii="仿宋_GB2312" w:hAnsi="仿宋" w:eastAsia="仿宋_GB2312" w:cs="黑体"/>
                <w:sz w:val="28"/>
                <w:szCs w:val="28"/>
              </w:rPr>
              <w:t>.</w:t>
            </w:r>
            <w:r>
              <w:rPr>
                <w:rFonts w:ascii="Times New Roman" w:hAnsi="Times New Roman" w:eastAsia="仿宋_GB2312" w:cs="Times New Roman"/>
                <w:sz w:val="28"/>
                <w:szCs w:val="28"/>
              </w:rPr>
              <w:t>07</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柳州钢铁股份有限公司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安全管理</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15778251543</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19</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宋体" w:eastAsia="仿宋_GB2312" w:cs="宋体"/>
                <w:sz w:val="28"/>
                <w:szCs w:val="28"/>
              </w:rPr>
            </w:pPr>
            <w:r>
              <w:rPr>
                <w:rFonts w:hint="eastAsia" w:ascii="仿宋_GB2312" w:hAnsi="Calibri" w:eastAsia="仿宋_GB2312" w:cs="黑体"/>
                <w:sz w:val="28"/>
                <w:szCs w:val="28"/>
              </w:rPr>
              <w:t>杨志强</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宋体" w:eastAsia="仿宋_GB2312" w:cs="宋体"/>
                <w:sz w:val="28"/>
                <w:szCs w:val="28"/>
              </w:rPr>
            </w:pPr>
            <w:r>
              <w:rPr>
                <w:rFonts w:hint="eastAsia" w:ascii="仿宋_GB2312" w:hAnsi="Calibri"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宋体" w:eastAsia="仿宋_GB2312" w:cs="宋体"/>
                <w:sz w:val="28"/>
                <w:szCs w:val="28"/>
              </w:rPr>
            </w:pPr>
            <w:r>
              <w:rPr>
                <w:rFonts w:ascii="Times New Roman" w:hAnsi="Times New Roman" w:eastAsia="仿宋_GB2312" w:cs="Times New Roman"/>
                <w:sz w:val="28"/>
                <w:szCs w:val="28"/>
              </w:rPr>
              <w:t>1969</w:t>
            </w:r>
            <w:r>
              <w:rPr>
                <w:rFonts w:hint="eastAsia" w:ascii="仿宋_GB2312" w:hAnsi="Calibri" w:eastAsia="仿宋_GB2312" w:cs="黑体"/>
                <w:sz w:val="28"/>
                <w:szCs w:val="28"/>
              </w:rPr>
              <w:t>.</w:t>
            </w:r>
            <w:r>
              <w:rPr>
                <w:rFonts w:ascii="Times New Roman" w:hAnsi="Times New Roman" w:eastAsia="仿宋_GB2312" w:cs="Times New Roman"/>
                <w:sz w:val="28"/>
                <w:szCs w:val="28"/>
              </w:rPr>
              <w:t>04</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宋体" w:eastAsia="仿宋_GB2312" w:cs="宋体"/>
                <w:sz w:val="28"/>
                <w:szCs w:val="28"/>
              </w:rPr>
            </w:pPr>
            <w:r>
              <w:rPr>
                <w:rFonts w:hint="eastAsia" w:ascii="仿宋_GB2312" w:hAnsi="Calibri" w:eastAsia="仿宋_GB2312" w:cs="黑体"/>
                <w:sz w:val="28"/>
                <w:szCs w:val="28"/>
              </w:rPr>
              <w:t>柳州东风容泰化工股份有限公司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化工仪表</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13097726049</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20</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宋体" w:eastAsia="仿宋_GB2312" w:cs="宋体"/>
                <w:sz w:val="28"/>
                <w:szCs w:val="28"/>
              </w:rPr>
            </w:pPr>
            <w:r>
              <w:rPr>
                <w:rFonts w:hint="eastAsia" w:ascii="仿宋_GB2312" w:hAnsi="Calibri" w:eastAsia="仿宋_GB2312" w:cs="黑体"/>
                <w:sz w:val="28"/>
                <w:szCs w:val="28"/>
              </w:rPr>
              <w:t>李绵庆</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宋体" w:eastAsia="仿宋_GB2312" w:cs="宋体"/>
                <w:sz w:val="28"/>
                <w:szCs w:val="28"/>
              </w:rPr>
            </w:pPr>
            <w:r>
              <w:rPr>
                <w:rFonts w:hint="eastAsia" w:ascii="仿宋_GB2312" w:hAnsi="Calibri"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宋体" w:eastAsia="仿宋_GB2312" w:cs="宋体"/>
                <w:sz w:val="28"/>
                <w:szCs w:val="28"/>
              </w:rPr>
            </w:pPr>
            <w:r>
              <w:rPr>
                <w:rFonts w:ascii="Times New Roman" w:hAnsi="Times New Roman" w:eastAsia="仿宋_GB2312" w:cs="Times New Roman"/>
                <w:sz w:val="28"/>
                <w:szCs w:val="28"/>
              </w:rPr>
              <w:t>1963</w:t>
            </w:r>
            <w:r>
              <w:rPr>
                <w:rFonts w:hint="eastAsia" w:ascii="仿宋_GB2312" w:hAnsi="Calibri" w:eastAsia="仿宋_GB2312" w:cs="黑体"/>
                <w:sz w:val="28"/>
                <w:szCs w:val="28"/>
              </w:rPr>
              <w:t>.</w:t>
            </w:r>
            <w:r>
              <w:rPr>
                <w:rFonts w:ascii="Times New Roman" w:hAnsi="Times New Roman" w:eastAsia="仿宋_GB2312" w:cs="Times New Roman"/>
                <w:sz w:val="28"/>
                <w:szCs w:val="28"/>
              </w:rPr>
              <w:t>04</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宋体" w:eastAsia="仿宋_GB2312" w:cs="宋体"/>
                <w:sz w:val="28"/>
                <w:szCs w:val="28"/>
              </w:rPr>
            </w:pPr>
            <w:r>
              <w:rPr>
                <w:rFonts w:hint="eastAsia" w:ascii="仿宋_GB2312" w:hAnsi="Calibri" w:eastAsia="仿宋_GB2312" w:cs="黑体"/>
                <w:sz w:val="28"/>
                <w:szCs w:val="28"/>
              </w:rPr>
              <w:t>柳州东风容泰化工股份有限公司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主任工程师</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教授级高级工程师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化工、应急救援</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13807828418</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21</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宋体" w:eastAsia="仿宋_GB2312" w:cs="宋体"/>
                <w:sz w:val="28"/>
                <w:szCs w:val="28"/>
              </w:rPr>
            </w:pPr>
            <w:r>
              <w:rPr>
                <w:rFonts w:hint="eastAsia" w:ascii="仿宋_GB2312" w:hAnsi="Calibri" w:eastAsia="仿宋_GB2312" w:cs="黑体"/>
                <w:sz w:val="28"/>
                <w:szCs w:val="28"/>
              </w:rPr>
              <w:t>易富林</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宋体" w:eastAsia="仿宋_GB2312" w:cs="宋体"/>
                <w:sz w:val="28"/>
                <w:szCs w:val="28"/>
              </w:rPr>
            </w:pPr>
            <w:r>
              <w:rPr>
                <w:rFonts w:hint="eastAsia" w:ascii="仿宋_GB2312" w:hAnsi="Calibri"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宋体" w:eastAsia="仿宋_GB2312" w:cs="宋体"/>
                <w:sz w:val="28"/>
                <w:szCs w:val="28"/>
              </w:rPr>
            </w:pPr>
            <w:r>
              <w:rPr>
                <w:rFonts w:ascii="Times New Roman" w:hAnsi="Times New Roman" w:eastAsia="仿宋_GB2312" w:cs="Times New Roman"/>
                <w:sz w:val="28"/>
                <w:szCs w:val="28"/>
              </w:rPr>
              <w:t>1974</w:t>
            </w:r>
            <w:r>
              <w:rPr>
                <w:rFonts w:hint="eastAsia" w:ascii="仿宋_GB2312" w:hAnsi="Calibri" w:eastAsia="仿宋_GB2312" w:cs="黑体"/>
                <w:sz w:val="28"/>
                <w:szCs w:val="28"/>
              </w:rPr>
              <w:t>.</w:t>
            </w:r>
            <w:r>
              <w:rPr>
                <w:rFonts w:ascii="Times New Roman" w:hAnsi="Times New Roman" w:eastAsia="仿宋_GB2312" w:cs="Times New Roman"/>
                <w:sz w:val="28"/>
                <w:szCs w:val="28"/>
              </w:rPr>
              <w:t>03</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柳州东风容泰化工股份有限公司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安全环保总监</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在职研究生</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化工</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13481751115</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22</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宋体" w:eastAsia="仿宋_GB2312" w:cs="宋体"/>
                <w:sz w:val="28"/>
                <w:szCs w:val="28"/>
              </w:rPr>
            </w:pPr>
            <w:r>
              <w:rPr>
                <w:rFonts w:hint="eastAsia" w:ascii="仿宋_GB2312" w:hAnsi="Calibri" w:eastAsia="仿宋_GB2312" w:cs="黑体"/>
                <w:sz w:val="28"/>
                <w:szCs w:val="28"/>
              </w:rPr>
              <w:t>卢绪钦</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宋体" w:eastAsia="仿宋_GB2312" w:cs="宋体"/>
                <w:sz w:val="28"/>
                <w:szCs w:val="28"/>
              </w:rPr>
            </w:pPr>
            <w:r>
              <w:rPr>
                <w:rFonts w:hint="eastAsia" w:ascii="仿宋_GB2312" w:hAnsi="Calibri"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宋体" w:eastAsia="仿宋_GB2312" w:cs="宋体"/>
                <w:sz w:val="28"/>
                <w:szCs w:val="28"/>
              </w:rPr>
            </w:pPr>
            <w:r>
              <w:rPr>
                <w:rFonts w:ascii="Times New Roman" w:hAnsi="Times New Roman" w:eastAsia="仿宋_GB2312" w:cs="Times New Roman"/>
                <w:sz w:val="28"/>
                <w:szCs w:val="28"/>
              </w:rPr>
              <w:t>1976</w:t>
            </w:r>
            <w:r>
              <w:rPr>
                <w:rFonts w:hint="eastAsia" w:ascii="仿宋_GB2312" w:hAnsi="Calibri" w:eastAsia="仿宋_GB2312" w:cs="黑体"/>
                <w:sz w:val="28"/>
                <w:szCs w:val="28"/>
              </w:rPr>
              <w:t>.</w:t>
            </w:r>
            <w:r>
              <w:rPr>
                <w:rFonts w:ascii="Times New Roman" w:hAnsi="Times New Roman" w:eastAsia="仿宋_GB2312" w:cs="Times New Roman"/>
                <w:sz w:val="28"/>
                <w:szCs w:val="28"/>
              </w:rPr>
              <w:t>11</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广西柳州化工股份公司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化工</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13633072301</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23</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王欣荣</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1968</w:t>
            </w:r>
            <w:r>
              <w:rPr>
                <w:rFonts w:hint="eastAsia" w:ascii="仿宋_GB2312" w:hAnsi="仿宋" w:eastAsia="仿宋_GB2312" w:cs="黑体"/>
                <w:sz w:val="28"/>
                <w:szCs w:val="28"/>
              </w:rPr>
              <w:t>.</w:t>
            </w:r>
            <w:r>
              <w:rPr>
                <w:rFonts w:ascii="Times New Roman" w:hAnsi="Times New Roman" w:eastAsia="仿宋_GB2312" w:cs="Times New Roman"/>
                <w:sz w:val="28"/>
                <w:szCs w:val="28"/>
              </w:rPr>
              <w:t>04</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广西柳化氯碱有限公司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副总经理</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高级工程师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研究生</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安全管理、应急救援</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18777269296</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24</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林雁</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女</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1987</w:t>
            </w:r>
            <w:r>
              <w:rPr>
                <w:rFonts w:hint="eastAsia" w:ascii="仿宋_GB2312" w:hAnsi="仿宋" w:eastAsia="仿宋_GB2312" w:cs="黑体"/>
                <w:sz w:val="28"/>
                <w:szCs w:val="28"/>
              </w:rPr>
              <w:t>.</w:t>
            </w:r>
            <w:r>
              <w:rPr>
                <w:rFonts w:ascii="Times New Roman" w:hAnsi="Times New Roman" w:eastAsia="仿宋_GB2312" w:cs="Times New Roman"/>
                <w:sz w:val="28"/>
                <w:szCs w:val="28"/>
              </w:rPr>
              <w:t>02</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广西柳化氯碱有限公司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公司办主任</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经济师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化工生产及管理</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13633088795</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25</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陈家信</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1980</w:t>
            </w:r>
            <w:r>
              <w:rPr>
                <w:rFonts w:hint="eastAsia" w:ascii="仿宋_GB2312" w:hAnsi="仿宋" w:eastAsia="仿宋_GB2312" w:cs="黑体"/>
                <w:sz w:val="28"/>
                <w:szCs w:val="28"/>
              </w:rPr>
              <w:t>.</w:t>
            </w:r>
            <w:r>
              <w:rPr>
                <w:rFonts w:ascii="Times New Roman" w:hAnsi="Times New Roman" w:eastAsia="仿宋_GB2312" w:cs="Times New Roman"/>
                <w:sz w:val="28"/>
                <w:szCs w:val="28"/>
              </w:rPr>
              <w:t>06</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柳州市润发化工有限责任公司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车间主任</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化工工程 化工工艺</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15177703790</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26</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徐红光</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1969</w:t>
            </w:r>
            <w:r>
              <w:rPr>
                <w:rFonts w:hint="eastAsia" w:ascii="仿宋_GB2312" w:hAnsi="仿宋" w:eastAsia="仿宋_GB2312" w:cs="黑体"/>
                <w:sz w:val="28"/>
                <w:szCs w:val="28"/>
              </w:rPr>
              <w:t>.</w:t>
            </w:r>
            <w:r>
              <w:rPr>
                <w:rFonts w:ascii="Times New Roman" w:hAnsi="Times New Roman" w:eastAsia="仿宋_GB2312" w:cs="Times New Roman"/>
                <w:sz w:val="28"/>
                <w:szCs w:val="28"/>
              </w:rPr>
              <w:t>02</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广西天天乐药业股份有限公司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副总经理</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注册安全工程师、执业药师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大学本科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化工工程、化工工艺</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13877238857</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27</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梁玉霄</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女</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1976</w:t>
            </w:r>
            <w:r>
              <w:rPr>
                <w:rFonts w:hint="eastAsia" w:ascii="仿宋_GB2312" w:hAnsi="仿宋" w:eastAsia="仿宋_GB2312" w:cs="黑体"/>
                <w:sz w:val="28"/>
                <w:szCs w:val="28"/>
              </w:rPr>
              <w:t>.</w:t>
            </w:r>
            <w:r>
              <w:rPr>
                <w:rFonts w:ascii="Times New Roman" w:hAnsi="Times New Roman" w:eastAsia="仿宋_GB2312" w:cs="Times New Roman"/>
                <w:sz w:val="28"/>
                <w:szCs w:val="28"/>
              </w:rPr>
              <w:t>01</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原广西柳州化工股份有限公司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安全管理</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大专</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危险化学品安全技术与管理</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13788327854</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28</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吴道松</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1986</w:t>
            </w:r>
            <w:r>
              <w:rPr>
                <w:rFonts w:hint="eastAsia" w:ascii="仿宋_GB2312" w:hAnsi="仿宋" w:eastAsia="仿宋_GB2312" w:cs="黑体"/>
                <w:sz w:val="28"/>
                <w:szCs w:val="28"/>
              </w:rPr>
              <w:t>.</w:t>
            </w:r>
            <w:r>
              <w:rPr>
                <w:rFonts w:ascii="Times New Roman" w:hAnsi="Times New Roman" w:eastAsia="仿宋_GB2312" w:cs="Times New Roman"/>
                <w:sz w:val="28"/>
                <w:szCs w:val="28"/>
              </w:rPr>
              <w:t>03</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广西柳州钢铁集团有限公司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安全管理室主任</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化工空气分离</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13633083931</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29</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李汉梁</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1961</w:t>
            </w:r>
            <w:r>
              <w:rPr>
                <w:rFonts w:hint="eastAsia" w:ascii="仿宋_GB2312" w:hAnsi="仿宋" w:eastAsia="仿宋_GB2312" w:cs="黑体"/>
                <w:sz w:val="28"/>
                <w:szCs w:val="28"/>
              </w:rPr>
              <w:t>.</w:t>
            </w:r>
            <w:r>
              <w:rPr>
                <w:rFonts w:ascii="Times New Roman" w:hAnsi="Times New Roman" w:eastAsia="仿宋_GB2312" w:cs="Times New Roman"/>
                <w:sz w:val="28"/>
                <w:szCs w:val="28"/>
              </w:rPr>
              <w:t>05</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广西泺桦应急技术咨询有限公司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部门经理</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化工、应急</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18076741063</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30</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陆世昌</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1993</w:t>
            </w:r>
            <w:r>
              <w:rPr>
                <w:rFonts w:hint="eastAsia" w:ascii="仿宋_GB2312" w:hAnsi="仿宋" w:eastAsia="仿宋_GB2312" w:cs="黑体"/>
                <w:sz w:val="28"/>
                <w:szCs w:val="28"/>
              </w:rPr>
              <w:t>.</w:t>
            </w:r>
            <w:r>
              <w:rPr>
                <w:rFonts w:ascii="Times New Roman" w:hAnsi="Times New Roman" w:eastAsia="仿宋_GB2312" w:cs="Times New Roman"/>
                <w:sz w:val="28"/>
                <w:szCs w:val="28"/>
              </w:rPr>
              <w:t>03</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柳州东风容泰化工股份有限公司</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安全科科长</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宋体"/>
                <w:sz w:val="28"/>
                <w:szCs w:val="28"/>
              </w:rPr>
              <w:t>注册安全工程师</w:t>
            </w: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本科</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化工</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13978016795</w:t>
            </w:r>
          </w:p>
        </w:tc>
      </w:tr>
      <w:tr>
        <w:tblPrEx>
          <w:tblCellMar>
            <w:top w:w="0" w:type="dxa"/>
            <w:left w:w="108" w:type="dxa"/>
            <w:bottom w:w="0" w:type="dxa"/>
            <w:right w:w="108" w:type="dxa"/>
          </w:tblCellMar>
        </w:tblPrEx>
        <w:trPr>
          <w:cantSpli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31</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吕保樱</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女</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1981</w:t>
            </w:r>
            <w:r>
              <w:rPr>
                <w:rFonts w:hint="eastAsia" w:ascii="仿宋_GB2312" w:hAnsi="仿宋" w:eastAsia="仿宋_GB2312" w:cs="黑体"/>
                <w:sz w:val="28"/>
                <w:szCs w:val="28"/>
              </w:rPr>
              <w:t>.</w:t>
            </w:r>
            <w:r>
              <w:rPr>
                <w:rFonts w:ascii="Times New Roman" w:hAnsi="Times New Roman" w:eastAsia="仿宋_GB2312" w:cs="Times New Roman"/>
                <w:sz w:val="28"/>
                <w:szCs w:val="28"/>
              </w:rPr>
              <w:t>09</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广西科技大学</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高级工程师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博士研究生</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化学相关领域</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18978031885</w:t>
            </w:r>
          </w:p>
        </w:tc>
      </w:tr>
      <w:tr>
        <w:tblPrEx>
          <w:tblCellMar>
            <w:top w:w="0" w:type="dxa"/>
            <w:left w:w="108" w:type="dxa"/>
            <w:bottom w:w="0" w:type="dxa"/>
            <w:right w:w="108" w:type="dxa"/>
          </w:tblCellMar>
        </w:tblPrEx>
        <w:trPr>
          <w:cantSplit/>
          <w:trHeight w:val="489" w:hRule="atLeast"/>
        </w:trPr>
        <w:tc>
          <w:tcPr>
            <w:tcW w:w="24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 w:eastAsia="仿宋_GB2312" w:cs="宋体"/>
                <w:kern w:val="0"/>
                <w:sz w:val="28"/>
                <w:szCs w:val="28"/>
              </w:rPr>
            </w:pPr>
            <w:r>
              <w:rPr>
                <w:rFonts w:ascii="Times New Roman" w:hAnsi="Times New Roman" w:eastAsia="仿宋_GB2312" w:cs="Times New Roman"/>
                <w:kern w:val="0"/>
                <w:sz w:val="28"/>
                <w:szCs w:val="28"/>
              </w:rPr>
              <w:t>32</w:t>
            </w:r>
          </w:p>
        </w:tc>
        <w:tc>
          <w:tcPr>
            <w:tcW w:w="42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黄承都</w:t>
            </w:r>
          </w:p>
        </w:tc>
        <w:tc>
          <w:tcPr>
            <w:tcW w:w="17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男</w:t>
            </w:r>
          </w:p>
        </w:tc>
        <w:tc>
          <w:tcPr>
            <w:tcW w:w="48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1977</w:t>
            </w:r>
            <w:r>
              <w:rPr>
                <w:rFonts w:hint="eastAsia" w:ascii="仿宋_GB2312" w:hAnsi="仿宋" w:eastAsia="仿宋_GB2312" w:cs="黑体"/>
                <w:sz w:val="28"/>
                <w:szCs w:val="28"/>
              </w:rPr>
              <w:t>.</w:t>
            </w:r>
            <w:r>
              <w:rPr>
                <w:rFonts w:ascii="Times New Roman" w:hAnsi="Times New Roman" w:eastAsia="仿宋_GB2312" w:cs="Times New Roman"/>
                <w:sz w:val="28"/>
                <w:szCs w:val="28"/>
              </w:rPr>
              <w:t>03</w:t>
            </w:r>
          </w:p>
        </w:tc>
        <w:tc>
          <w:tcPr>
            <w:tcW w:w="727"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广西科技大学</w:t>
            </w:r>
          </w:p>
        </w:tc>
        <w:tc>
          <w:tcPr>
            <w:tcW w:w="412"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教师</w:t>
            </w:r>
          </w:p>
        </w:tc>
        <w:tc>
          <w:tcPr>
            <w:tcW w:w="454"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工程师</w:t>
            </w:r>
          </w:p>
        </w:tc>
        <w:tc>
          <w:tcPr>
            <w:tcW w:w="550"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p>
        </w:tc>
        <w:tc>
          <w:tcPr>
            <w:tcW w:w="436"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博士</w:t>
            </w:r>
          </w:p>
        </w:tc>
        <w:tc>
          <w:tcPr>
            <w:tcW w:w="423"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hint="eastAsia" w:ascii="仿宋_GB2312" w:hAnsi="仿宋" w:eastAsia="仿宋_GB2312" w:cs="黑体"/>
                <w:sz w:val="28"/>
                <w:szCs w:val="28"/>
              </w:rPr>
              <w:t>煤化工、精细化工</w:t>
            </w:r>
          </w:p>
        </w:tc>
        <w:tc>
          <w:tcPr>
            <w:tcW w:w="668" w:type="pct"/>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仿宋" w:eastAsia="仿宋_GB2312" w:cs="宋体"/>
                <w:sz w:val="28"/>
                <w:szCs w:val="28"/>
              </w:rPr>
            </w:pPr>
            <w:r>
              <w:rPr>
                <w:rFonts w:ascii="Times New Roman" w:hAnsi="Times New Roman" w:eastAsia="仿宋_GB2312" w:cs="Times New Roman"/>
                <w:sz w:val="28"/>
                <w:szCs w:val="28"/>
              </w:rPr>
              <w:t>13481751115</w:t>
            </w:r>
          </w:p>
        </w:tc>
      </w:tr>
    </w:tbl>
    <w:p>
      <w:pPr>
        <w:spacing w:line="560" w:lineRule="exact"/>
        <w:rPr>
          <w:sz w:val="32"/>
          <w:szCs w:val="32"/>
        </w:rPr>
        <w:sectPr>
          <w:pgSz w:w="16838" w:h="11906" w:orient="landscape"/>
          <w:pgMar w:top="1800" w:right="1440" w:bottom="1800" w:left="1440" w:header="851" w:footer="992" w:gutter="0"/>
          <w:cols w:space="425" w:num="1"/>
          <w:docGrid w:type="lines" w:linePitch="312" w:charSpace="0"/>
        </w:sectPr>
      </w:pPr>
      <w:bookmarkStart w:id="78" w:name="_Toc10834"/>
    </w:p>
    <w:p>
      <w:pPr>
        <w:pStyle w:val="4"/>
        <w:spacing w:beforeAutospacing="0" w:afterAutospacing="0" w:line="560" w:lineRule="exact"/>
        <w:ind w:firstLine="640" w:firstLineChars="200"/>
        <w:rPr>
          <w:rFonts w:hint="default"/>
          <w:b w:val="0"/>
          <w:spacing w:val="-6"/>
          <w:szCs w:val="32"/>
        </w:rPr>
      </w:pPr>
      <w:bookmarkStart w:id="79" w:name="_Toc22385"/>
      <w:r>
        <w:rPr>
          <w:rFonts w:hint="default" w:ascii="Times New Roman" w:hAnsi="Times New Roman"/>
          <w:b w:val="0"/>
          <w:szCs w:val="32"/>
        </w:rPr>
        <w:t>9</w:t>
      </w:r>
      <w:r>
        <w:rPr>
          <w:b w:val="0"/>
          <w:szCs w:val="32"/>
        </w:rPr>
        <w:t>.</w:t>
      </w:r>
      <w:r>
        <w:rPr>
          <w:rFonts w:hint="default" w:ascii="Times New Roman" w:hAnsi="Times New Roman"/>
          <w:b w:val="0"/>
          <w:szCs w:val="32"/>
        </w:rPr>
        <w:t>3</w:t>
      </w:r>
      <w:r>
        <w:rPr>
          <w:b w:val="0"/>
          <w:spacing w:val="-6"/>
          <w:szCs w:val="32"/>
        </w:rPr>
        <w:t>县危险化学品生产安全事故应急救援指挥部相关职责</w:t>
      </w:r>
      <w:bookmarkEnd w:id="79"/>
    </w:p>
    <w:bookmarkEnd w:id="78"/>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80" w:name="_Toc27279"/>
      <w:bookmarkStart w:id="81" w:name="_Toc1947"/>
      <w:r>
        <w:rPr>
          <w:rFonts w:hint="default" w:ascii="Times New Roman" w:hAnsi="Times New Roman" w:eastAsia="仿宋_GB2312"/>
          <w:bCs/>
          <w:szCs w:val="32"/>
        </w:rPr>
        <w:t>9</w:t>
      </w:r>
      <w:r>
        <w:rPr>
          <w:rFonts w:hint="default" w:ascii="仿宋_GB2312" w:hAnsi="仿宋_GB2312" w:eastAsia="仿宋_GB2312" w:cs="仿宋_GB2312"/>
          <w:bCs/>
          <w:szCs w:val="32"/>
        </w:rPr>
        <w:t>.</w:t>
      </w:r>
      <w:r>
        <w:rPr>
          <w:rFonts w:hint="default" w:ascii="Times New Roman" w:hAnsi="Times New Roman" w:eastAsia="仿宋_GB2312"/>
          <w:bCs/>
          <w:szCs w:val="32"/>
        </w:rPr>
        <w:t>3</w:t>
      </w:r>
      <w:r>
        <w:rPr>
          <w:rFonts w:hint="default" w:ascii="仿宋_GB2312" w:hAnsi="仿宋_GB2312" w:eastAsia="仿宋_GB2312" w:cs="仿宋_GB2312"/>
          <w:bCs/>
          <w:szCs w:val="32"/>
        </w:rPr>
        <w:t>.</w:t>
      </w:r>
      <w:r>
        <w:rPr>
          <w:rFonts w:hint="default" w:ascii="Times New Roman" w:hAnsi="Times New Roman" w:eastAsia="仿宋_GB2312"/>
          <w:bCs/>
          <w:szCs w:val="32"/>
        </w:rPr>
        <w:t>1</w:t>
      </w:r>
      <w:r>
        <w:rPr>
          <w:rFonts w:hint="default" w:ascii="仿宋_GB2312" w:hAnsi="仿宋_GB2312" w:eastAsia="仿宋_GB2312" w:cs="仿宋_GB2312"/>
          <w:bCs/>
          <w:szCs w:val="32"/>
        </w:rPr>
        <w:t>县危险化学品生产安全事故应急救援指挥部的主要职责</w:t>
      </w:r>
      <w:bookmarkEnd w:id="80"/>
      <w:bookmarkEnd w:id="8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传达并贯彻落实国务院和自治区、市人民政府有关指示批示精神；组织、协调、指挥重特大危险化学品生产安全事故应急处置工作；组织制订并同意实施事故应急救援方案；及时向上级人民政府报告事故应急处置工作进展情况；组织有关队伍、专家赶赴现场参加应急处置工作；协调指导事故信息发布、事故救援宣传报道及舆论引导工作；决定成立现场应急指挥部和相应工作组；决定事故救援其他重大事项。</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82" w:name="_Toc26714"/>
      <w:bookmarkStart w:id="83" w:name="_Toc14566"/>
      <w:r>
        <w:rPr>
          <w:rFonts w:hint="default" w:ascii="Times New Roman" w:hAnsi="Times New Roman" w:eastAsia="仿宋_GB2312"/>
          <w:bCs/>
          <w:szCs w:val="32"/>
        </w:rPr>
        <w:t>9</w:t>
      </w:r>
      <w:r>
        <w:rPr>
          <w:rFonts w:ascii="仿宋_GB2312" w:hAnsi="仿宋_GB2312" w:eastAsia="仿宋_GB2312" w:cs="仿宋_GB2312"/>
          <w:bCs/>
          <w:szCs w:val="32"/>
        </w:rPr>
        <w:t>.</w:t>
      </w:r>
      <w:r>
        <w:rPr>
          <w:rFonts w:hint="default" w:ascii="Times New Roman" w:hAnsi="Times New Roman" w:eastAsia="仿宋_GB2312"/>
          <w:bCs/>
          <w:szCs w:val="32"/>
        </w:rPr>
        <w:t>3</w:t>
      </w:r>
      <w:r>
        <w:rPr>
          <w:rFonts w:ascii="仿宋_GB2312" w:hAnsi="仿宋_GB2312" w:eastAsia="仿宋_GB2312" w:cs="仿宋_GB2312"/>
          <w:bCs/>
          <w:szCs w:val="32"/>
        </w:rPr>
        <w:t>.</w:t>
      </w:r>
      <w:r>
        <w:rPr>
          <w:rFonts w:hint="default" w:ascii="Times New Roman" w:hAnsi="Times New Roman" w:eastAsia="仿宋_GB2312"/>
          <w:bCs/>
          <w:szCs w:val="32"/>
        </w:rPr>
        <w:t>2</w:t>
      </w:r>
      <w:r>
        <w:rPr>
          <w:rFonts w:ascii="仿宋_GB2312" w:hAnsi="仿宋_GB2312" w:eastAsia="仿宋_GB2312" w:cs="仿宋_GB2312"/>
          <w:bCs/>
          <w:szCs w:val="32"/>
        </w:rPr>
        <w:t>县危险化学品生产安全事故应急救援指挥部办公室的主要职责</w:t>
      </w:r>
      <w:bookmarkEnd w:id="82"/>
      <w:bookmarkEnd w:id="8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负责县指挥部日常工作，联系、协调和指导乡镇级危险化学品生产安全事故应急指挥机构。</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84" w:name="_Toc14143"/>
      <w:bookmarkStart w:id="85" w:name="_Toc12354"/>
      <w:r>
        <w:rPr>
          <w:rFonts w:hint="default" w:ascii="Times New Roman" w:hAnsi="Times New Roman" w:eastAsia="仿宋_GB2312"/>
          <w:bCs/>
          <w:szCs w:val="32"/>
        </w:rPr>
        <w:t>9</w:t>
      </w:r>
      <w:r>
        <w:rPr>
          <w:rFonts w:ascii="仿宋_GB2312" w:hAnsi="仿宋_GB2312" w:eastAsia="仿宋_GB2312" w:cs="仿宋_GB2312"/>
          <w:bCs/>
          <w:szCs w:val="32"/>
        </w:rPr>
        <w:t>.</w:t>
      </w:r>
      <w:r>
        <w:rPr>
          <w:rFonts w:hint="default" w:ascii="Times New Roman" w:hAnsi="Times New Roman" w:eastAsia="仿宋_GB2312"/>
          <w:bCs/>
          <w:szCs w:val="32"/>
        </w:rPr>
        <w:t>3</w:t>
      </w:r>
      <w:r>
        <w:rPr>
          <w:rFonts w:ascii="仿宋_GB2312" w:hAnsi="仿宋_GB2312" w:eastAsia="仿宋_GB2312" w:cs="仿宋_GB2312"/>
          <w:bCs/>
          <w:szCs w:val="32"/>
        </w:rPr>
        <w:t>.</w:t>
      </w:r>
      <w:r>
        <w:rPr>
          <w:rFonts w:hint="default" w:ascii="Times New Roman" w:hAnsi="Times New Roman" w:eastAsia="仿宋_GB2312"/>
          <w:bCs/>
          <w:szCs w:val="32"/>
        </w:rPr>
        <w:t>3</w:t>
      </w:r>
      <w:r>
        <w:rPr>
          <w:rFonts w:ascii="仿宋_GB2312" w:hAnsi="仿宋_GB2312" w:eastAsia="仿宋_GB2312" w:cs="仿宋_GB2312"/>
          <w:bCs/>
          <w:szCs w:val="32"/>
        </w:rPr>
        <w:t>县县危险化学品生产安全事故应急救援指挥部成员单位的主要职责</w:t>
      </w:r>
      <w:bookmarkEnd w:id="84"/>
      <w:bookmarkEnd w:id="8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县委宣传部：负责组织协调生产安全事故以及应急救援的新闻发布、媒体报道、网络言论引导工作。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县机构编制委员会办公室：协调各有关部门安全生产工作职责分工、并落实到部门工作职责规定中。配合有关部门健全完善全县安全监管体制机制，建立健全基层安全生产监管体系。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县发展和改革局：参与组织、筹备本县可生产的抢险器材和物资。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县教育局：组织、监督学校做好危险化学品生产安全事故期间师生安全防范工作，及时掌握学校危险化学品事故期间的情况。做好学校教育、教学组织工作，协调有关部门共同做好校舍恢复重建工作。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县科技工贸和信息化局：负责应急状态下紧缺物资的生产组织协调工作,承担应对重大及以上生产安全事故的煤、电、油、气紧急调度和综合协调。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公安局：负责事故现场警戒保卫工作；根据事故影响范围临时封闭道路并设立警戒区域，维护好生产安全事故现场治安秩序，防止发生其他影响社会稳定事件；负责事故现场周边交通管制及疏导工作，确保事故发生地应急救援通道的畅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县民政局：负责死亡人员丧葬等有关事宜，参与善后处理工作。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县司法局：负责组织、协调劳教（戒毒）系统危险化学品生产安全事故的应急处置工作。负责法律文书、事故调查报告的审核工作。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县财政局：督促有关单位将危险化学品生产安全事故现场应急处置所需工作经费列入年度部门预算，保障应急处置资金。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柳州市融安生态环境局：负责开展事故单位厂界外环境监控和安全生产事故次生的环境事件预警工作；做好应对次生环境事件的环境应急准备工作；一旦发生因事故引发环境污染，根据突发环境事件应急预案的规定进行应急处置；协助做好厂界内的危险化学品监测、收集、处理及相关方案制定等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县人力资源和社会保障局：负责工伤保险有关事宜，参与善后处理工作。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县自然资源和规划局：协助指挥长负责地质类安全事故造成危险化学品生产安全事故抢险施救工作的现场指挥。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县住房和城乡建设局：协调做好因危险化学品生产安全事故造成房屋建筑受损的应急处置工作。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县交通运输局：负责开辟救援绿色通道，协助调集、征用救援车辆，做好事故现场抢险物资和抢险人员运送工作。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县卫生健康局：牵头负责事故医疗救护工作；负责组织协调事发地乡镇人民政府卫生部门开展事故伤员、被困获救人员医疗救治和事故现场卫生防疫等工作；组织伤病员转运和事故伤亡人员统计工作。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应急管理局：接到危险化学品生产安全事故报告后，通知有关单位立即赶赴事故现场；统筹协调事故的应急处置，传达县危险化学品生产安全事故应急救援指挥部指令；及时向县委、县人民政府报告事故相关信息；负责衔接人民武装部参与应急救援工作，负责抢险救援工作；调动全县危险化学品应急救援队伍及应急救援物资、装备实施抢险救援；邀请有关专家赶赴事故现场指导事故救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县农业农村局：负责组织农业生产领域经营、使用农药危险化学品生产安全事故的应急救援工作。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县文化体育广电和旅游局：负责组织协调旅游危险化学品生产安全事故应急救援工作。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县市场监督管理局：负责制定特种设备事故应急预案。负责组织协调事故现场特种设备的技术处理工作。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林业局：参与县林业系统危险化学品生产安全事故的应急救援和善后处置工作，指导、检查和督促县林业系统应急管理工作；按规定及时报送、传递相关事故信息；组织、指导县林业系统开展危险化学品应急演练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县城市管理行政执法局：指导、协调危险化学品生产安全事故造成市政工程受损的应急处置工作。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县供销社合作社：指导供销系统开展危险化学品事故的应急处置工作。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共青团融安县委员会：负责协调志愿者等社会力量参与危险化学品事故的应急处置工作。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县妇女联合会：加强妇女干部安全生产教育培训，提高妇女职工安全生产意识和事故防范技能。协同有关部门维护</w:t>
      </w:r>
      <w:r>
        <w:rPr>
          <w:rFonts w:hint="eastAsia" w:ascii="仿宋_GB2312" w:hAnsi="仿宋_GB2312" w:eastAsia="仿宋_GB2312" w:cs="仿宋_GB2312"/>
          <w:w w:val="98"/>
          <w:sz w:val="32"/>
          <w:szCs w:val="32"/>
        </w:rPr>
        <w:t>女职工在安全生产、职业健康和劳动保护等方面的合法权益。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邮政集团融安分公司：指导邮政开展危险化学品事故的应急处置工作。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柳州海事局融水办事处：负责提出管辖水域内危险化学品水路运输事故应急救援的对策措施，参与处置管辖水域内危险化学品水路运输事故应急救援行动，负责管辖水域内水上交通管制工作。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县公安局交通管理大队：负责制定交通处置的应急预案。负责事故现场区域周边道路的交通管制工作，禁止无关车辆进入危险区域，保障救援道路的畅通。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县行政审批局：贯彻落实有关危险化学品应急管理和安全生产的法律法规、方针政策依法开展危险化学品应急管理和安全生产有关行政审批和政务公开工作。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县气象局：负责应急救援气象服务。负责为事故现场提供风向、风速、温度、气压、湿度、雨量等气象资料。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县总工会：参与事故调查处理工作。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县人民武装部：负责事故现场救灾物品、要害部门和重</w:t>
      </w:r>
      <w:r>
        <w:rPr>
          <w:rFonts w:hint="eastAsia" w:ascii="仿宋_GB2312" w:hAnsi="仿宋_GB2312" w:eastAsia="仿宋_GB2312" w:cs="仿宋_GB2312"/>
          <w:w w:val="103"/>
          <w:sz w:val="32"/>
          <w:szCs w:val="32"/>
        </w:rPr>
        <w:t>要目标的外围警戒；负责调动指挥所属人员参与事故抢险救援。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消防救援大队：负责制定危险化学品生产安全事故泄漏和灭火扑救方案；负责危险化学品生产安全事故现场扑灭火灾以及易燃、易爆、有毒物质泄漏的控制、有关设备容器的冷却；危险化学品生产安全事故得到控制后负责洗消工作；组织伤员的搜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电信公司融安县分公司、移动融安县分公司、中国联通融安县分公司：负责协调保障通信供应相关工作。</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各乡（镇）人民政府：负责报送事故有关情况；组织开展较大危险化学品生产安全事故的应急处置工作和重大、特别重大危险化学品生产安全事故的先期处置工作；做好事故应急处置后勤保障工作；组织做好善后处置工作。</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86" w:name="_Toc9817"/>
      <w:bookmarkStart w:id="87" w:name="_Toc30393"/>
      <w:r>
        <w:rPr>
          <w:rFonts w:hint="default" w:ascii="Times New Roman" w:hAnsi="Times New Roman" w:eastAsia="仿宋_GB2312"/>
          <w:bCs/>
          <w:szCs w:val="32"/>
        </w:rPr>
        <w:t>9</w:t>
      </w:r>
      <w:r>
        <w:rPr>
          <w:rFonts w:ascii="仿宋_GB2312" w:hAnsi="仿宋_GB2312" w:eastAsia="仿宋_GB2312" w:cs="仿宋_GB2312"/>
          <w:bCs/>
          <w:szCs w:val="32"/>
        </w:rPr>
        <w:t>.</w:t>
      </w:r>
      <w:r>
        <w:rPr>
          <w:rFonts w:hint="default" w:ascii="Times New Roman" w:hAnsi="Times New Roman" w:eastAsia="仿宋_GB2312"/>
          <w:bCs/>
          <w:szCs w:val="32"/>
        </w:rPr>
        <w:t>3</w:t>
      </w:r>
      <w:r>
        <w:rPr>
          <w:rFonts w:ascii="仿宋_GB2312" w:hAnsi="仿宋_GB2312" w:eastAsia="仿宋_GB2312" w:cs="仿宋_GB2312"/>
          <w:bCs/>
          <w:szCs w:val="32"/>
        </w:rPr>
        <w:t>.</w:t>
      </w:r>
      <w:r>
        <w:rPr>
          <w:rFonts w:hint="default" w:ascii="Times New Roman" w:hAnsi="Times New Roman" w:eastAsia="仿宋_GB2312"/>
          <w:bCs/>
          <w:szCs w:val="32"/>
        </w:rPr>
        <w:t>4</w:t>
      </w:r>
      <w:r>
        <w:rPr>
          <w:rFonts w:ascii="仿宋_GB2312" w:hAnsi="仿宋_GB2312" w:eastAsia="仿宋_GB2312" w:cs="仿宋_GB2312"/>
          <w:bCs/>
          <w:szCs w:val="32"/>
        </w:rPr>
        <w:t>现场指挥部的主要职责</w:t>
      </w:r>
      <w:bookmarkEnd w:id="86"/>
      <w:bookmarkEnd w:id="8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）指挥危险化学品生产安全事故现场抢险救援，协调当地人民政府和市、自治区各有关部门（单位）参与、配合、支援危险化学品生产安全事故应急救援工作。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）制定危险化学品生产安全事故现场应急处置方案，并根据事故发展态势，现场研究、实施应急处置措施。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）收集危险化学品生产安全事故信息并报送市、自治区指挥部及各有关部门（单位），负责统一对外发布事故应对处置情况。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）执行县危险化学品生产安全事故应急救援指挥部指令。</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88" w:name="_Toc25246"/>
      <w:bookmarkStart w:id="89" w:name="_Toc30749"/>
      <w:r>
        <w:rPr>
          <w:rFonts w:hint="default" w:ascii="Times New Roman" w:hAnsi="Times New Roman" w:eastAsia="仿宋_GB2312"/>
          <w:bCs/>
          <w:szCs w:val="32"/>
        </w:rPr>
        <w:t>9</w:t>
      </w:r>
      <w:r>
        <w:rPr>
          <w:rFonts w:ascii="仿宋_GB2312" w:hAnsi="仿宋_GB2312" w:eastAsia="仿宋_GB2312" w:cs="仿宋_GB2312"/>
          <w:bCs/>
          <w:szCs w:val="32"/>
        </w:rPr>
        <w:t>.</w:t>
      </w:r>
      <w:r>
        <w:rPr>
          <w:rFonts w:hint="default" w:ascii="Times New Roman" w:hAnsi="Times New Roman" w:eastAsia="仿宋_GB2312"/>
          <w:bCs/>
          <w:szCs w:val="32"/>
        </w:rPr>
        <w:t>3</w:t>
      </w:r>
      <w:r>
        <w:rPr>
          <w:rFonts w:ascii="仿宋_GB2312" w:hAnsi="仿宋_GB2312" w:eastAsia="仿宋_GB2312" w:cs="仿宋_GB2312"/>
          <w:bCs/>
          <w:szCs w:val="32"/>
        </w:rPr>
        <w:t>.</w:t>
      </w:r>
      <w:r>
        <w:rPr>
          <w:rFonts w:hint="default" w:ascii="Times New Roman" w:hAnsi="Times New Roman" w:eastAsia="仿宋_GB2312"/>
          <w:bCs/>
          <w:szCs w:val="32"/>
        </w:rPr>
        <w:t>5</w:t>
      </w:r>
      <w:r>
        <w:rPr>
          <w:rFonts w:ascii="仿宋_GB2312" w:hAnsi="仿宋_GB2312" w:eastAsia="仿宋_GB2312" w:cs="仿宋_GB2312"/>
          <w:bCs/>
          <w:szCs w:val="32"/>
        </w:rPr>
        <w:t>应急工作组的主要职责</w:t>
      </w:r>
      <w:bookmarkEnd w:id="88"/>
      <w:bookmarkEnd w:id="89"/>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）综合协调组：在县危险化学品生产安全事故应急救援指挥部领导下,履行会议组织、信息汇总、综合协调和资料管理等职责</w:t>
      </w:r>
      <w:r>
        <w:rPr>
          <w:rFonts w:hint="eastAsia" w:ascii="仿宋" w:hAnsi="仿宋" w:eastAsia="仿宋" w:cs="仿宋"/>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抢险救援组：主要负责实施抢险救援方案，寻情、侦察、救生、控险、排险、堵漏、灭火；向有关部门提供抢险救援所需要的物资清单及抢险救援现场的图纸资料；组织指挥各类应急抢险救援队伍进入事故现场实施抢险救援；组织遇险、遇难人员的搜救工作；事故得到控制后洗消等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警戒保卫组：主要负责封锁、警戒、控制、保护事故现场及周边区域；维护事发单位治安和救援工作秩序；疏散转移现场和周边受威胁区域人员；开展交通管制，在现场外围开辟专用通道供应急救援车辆和人员通行；依法控制事故责任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）医疗救护组：主要负责组织协调救护车、医疗专家和卫生应急队伍等开展伤员及中毒人员急救、转运、救治和现场卫生防疫工作；组织协调卫生应急药品、器械等物资调配工作。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后勤保障组：主要负责应急救援物资的联系、采购、供应、车辆及油料配备；为救援人员提供住宿场所；为救援提供气象监测和预报；协调相关电力企业保证现场电力供应；负责现场应急救援物资存放与保管；负责开辟救援绿色通道，协助调集、征用救援车辆，对被损坏公路进行抢修、维护，保障公路运输畅通；事故现场空气及水域水质检测及预警和处置；化学品收集处理及相关方案制定等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）人员疏散安置组：主要负责事故影响区域的人员疏散及安置工作。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）善后处置组：主要负责做好伤亡人员家属的安抚、抚恤，督促保险理赔工作；负责遇难人员处理工作；负责其他善后处置工作。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8</w:t>
      </w:r>
      <w:r>
        <w:rPr>
          <w:rFonts w:hint="eastAsia" w:ascii="仿宋_GB2312" w:hAnsi="仿宋_GB2312" w:eastAsia="仿宋_GB2312" w:cs="仿宋_GB2312"/>
          <w:sz w:val="32"/>
          <w:szCs w:val="32"/>
        </w:rPr>
        <w:t>）新闻报道组：主要负责及时、准确、正面、客观发布权威信息；汇集收集相关舆情；组织开展宣传报道；做好现场媒体记者的接待工作；做好舆论引导工作。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9</w:t>
      </w:r>
      <w:r>
        <w:rPr>
          <w:rFonts w:hint="eastAsia" w:ascii="仿宋_GB2312" w:hAnsi="仿宋_GB2312" w:eastAsia="仿宋_GB2312" w:cs="仿宋_GB2312"/>
          <w:sz w:val="32"/>
          <w:szCs w:val="32"/>
        </w:rPr>
        <w:t>）危险物品专业处置组：主要负责对事故涉及的危险品进行安全处置。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事故调查组：主要负责按规定组织开展事故前期调查。对事故现场进行取证，准确地记录应急救援的重要事项，妥善保存相关原始资料和证据。初步查明事故发生的经过、原因、人员伤亡情况及直接经济损失；初步认定事故的性质和事故责任；将有关原始资料、证据和初步调查结论提供给履行生产安全事故调查职责的人民政府按照国家有关规定成立的生产安全事故调查组。</w:t>
      </w:r>
    </w:p>
    <w:p>
      <w:pPr>
        <w:pStyle w:val="4"/>
        <w:spacing w:beforeAutospacing="0" w:afterAutospacing="0" w:line="560" w:lineRule="exact"/>
        <w:ind w:firstLine="640" w:firstLineChars="200"/>
        <w:rPr>
          <w:rFonts w:hint="default"/>
          <w:b w:val="0"/>
          <w:szCs w:val="32"/>
        </w:rPr>
      </w:pPr>
      <w:bookmarkStart w:id="90" w:name="_Toc21057"/>
      <w:bookmarkStart w:id="91" w:name="_Toc20040"/>
      <w:r>
        <w:rPr>
          <w:rFonts w:hint="default" w:ascii="Times New Roman" w:hAnsi="Times New Roman"/>
          <w:b w:val="0"/>
          <w:szCs w:val="32"/>
        </w:rPr>
        <w:t>9</w:t>
      </w:r>
      <w:r>
        <w:rPr>
          <w:b w:val="0"/>
          <w:szCs w:val="32"/>
        </w:rPr>
        <w:t>.</w:t>
      </w:r>
      <w:r>
        <w:rPr>
          <w:rFonts w:hint="default" w:ascii="Times New Roman" w:hAnsi="Times New Roman"/>
          <w:b w:val="0"/>
          <w:szCs w:val="32"/>
        </w:rPr>
        <w:t>4</w:t>
      </w:r>
      <w:r>
        <w:rPr>
          <w:b w:val="0"/>
          <w:szCs w:val="32"/>
        </w:rPr>
        <w:t>危险化学品生产安全事故应急处置要点</w:t>
      </w:r>
      <w:bookmarkEnd w:id="90"/>
      <w:bookmarkEnd w:id="91"/>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根据危险化学品生产安全事故可能造成的后果，将危险化学品生产安全事故主要分为：火灾事故，爆炸事故，易燃、易爆物质泄漏事故，有毒物质泄漏事故四类，各类事故现场处置要点如下：</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92" w:name="_Toc12110"/>
      <w:bookmarkStart w:id="93" w:name="_Toc21975"/>
      <w:r>
        <w:rPr>
          <w:rFonts w:hint="default" w:ascii="Times New Roman" w:hAnsi="Times New Roman" w:eastAsia="仿宋_GB2312"/>
          <w:bCs/>
          <w:szCs w:val="32"/>
        </w:rPr>
        <w:t>9</w:t>
      </w:r>
      <w:r>
        <w:rPr>
          <w:rFonts w:ascii="仿宋_GB2312" w:hAnsi="仿宋_GB2312" w:eastAsia="仿宋_GB2312" w:cs="仿宋_GB2312"/>
          <w:bCs/>
          <w:szCs w:val="32"/>
        </w:rPr>
        <w:t>.</w:t>
      </w:r>
      <w:r>
        <w:rPr>
          <w:rFonts w:hint="default" w:ascii="Times New Roman" w:hAnsi="Times New Roman" w:eastAsia="仿宋_GB2312"/>
          <w:bCs/>
          <w:szCs w:val="32"/>
        </w:rPr>
        <w:t>4</w:t>
      </w:r>
      <w:r>
        <w:rPr>
          <w:rFonts w:ascii="仿宋_GB2312" w:hAnsi="仿宋_GB2312" w:eastAsia="仿宋_GB2312" w:cs="仿宋_GB2312"/>
          <w:bCs/>
          <w:szCs w:val="32"/>
        </w:rPr>
        <w:t>.</w:t>
      </w:r>
      <w:r>
        <w:rPr>
          <w:rFonts w:hint="default" w:ascii="Times New Roman" w:hAnsi="Times New Roman" w:eastAsia="仿宋_GB2312"/>
          <w:bCs/>
          <w:szCs w:val="32"/>
        </w:rPr>
        <w:t>1</w:t>
      </w:r>
      <w:r>
        <w:rPr>
          <w:rFonts w:ascii="仿宋_GB2312" w:hAnsi="仿宋_GB2312" w:eastAsia="仿宋_GB2312" w:cs="仿宋_GB2312"/>
          <w:bCs/>
          <w:szCs w:val="32"/>
        </w:rPr>
        <w:t>火灾事故现场处置要点</w:t>
      </w:r>
      <w:bookmarkEnd w:id="92"/>
      <w:bookmarkEnd w:id="9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根据火灾爆炸发生位置及危险化学品性质及火势扩大的可能性，综合考虑火灾发生区域的周围环境及火灾可能对周边的影响，确定警戒范围。现场疏散组隔离外围群众、疏散警戒范围内的群众，疏散过程中应注意群众的个体防护。安全保卫组禁止无关人员进入现场。交通部门注意提前引导无关车辆绕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）调集相应的消防、专业应急救援队伍、专家等救援力量赶赴现场。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）制定灭火方案。现场指挥部组织企业、专家及各应急救援小组制定灭火方案。制定灭火方案时应根据化学品的性质选用合适的灭火方法。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）实施灭火。注意配备必要的个体防护装备（防热辐射、防烟等）。出现意外情况时，立即撤离。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）现场监测。注意风向变化对火势的影响。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）现场指挥部根据现场事态的发展及时调整救援方案，并及时将现场情况报县危险化学品生产安全事故应急救援指挥部。</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94" w:name="_Toc20443"/>
      <w:bookmarkStart w:id="95" w:name="_Toc20039"/>
      <w:r>
        <w:rPr>
          <w:rFonts w:hint="default" w:ascii="Times New Roman" w:hAnsi="Times New Roman" w:eastAsia="仿宋_GB2312"/>
          <w:bCs/>
          <w:szCs w:val="32"/>
        </w:rPr>
        <w:t>9</w:t>
      </w:r>
      <w:r>
        <w:rPr>
          <w:rFonts w:ascii="仿宋_GB2312" w:hAnsi="仿宋_GB2312" w:eastAsia="仿宋_GB2312" w:cs="仿宋_GB2312"/>
          <w:bCs/>
          <w:szCs w:val="32"/>
        </w:rPr>
        <w:t>.</w:t>
      </w:r>
      <w:r>
        <w:rPr>
          <w:rFonts w:hint="default" w:ascii="Times New Roman" w:hAnsi="Times New Roman" w:eastAsia="仿宋_GB2312"/>
          <w:bCs/>
          <w:szCs w:val="32"/>
        </w:rPr>
        <w:t>4</w:t>
      </w:r>
      <w:r>
        <w:rPr>
          <w:rFonts w:ascii="仿宋_GB2312" w:hAnsi="仿宋_GB2312" w:eastAsia="仿宋_GB2312" w:cs="仿宋_GB2312"/>
          <w:bCs/>
          <w:szCs w:val="32"/>
        </w:rPr>
        <w:t>.</w:t>
      </w:r>
      <w:r>
        <w:rPr>
          <w:rFonts w:hint="default" w:ascii="Times New Roman" w:hAnsi="Times New Roman" w:eastAsia="仿宋_GB2312"/>
          <w:bCs/>
          <w:szCs w:val="32"/>
        </w:rPr>
        <w:t>2</w:t>
      </w:r>
      <w:r>
        <w:rPr>
          <w:rFonts w:ascii="仿宋_GB2312" w:hAnsi="仿宋_GB2312" w:eastAsia="仿宋_GB2312" w:cs="仿宋_GB2312"/>
          <w:bCs/>
          <w:szCs w:val="32"/>
        </w:rPr>
        <w:t>爆炸事故现场处置要点</w:t>
      </w:r>
      <w:bookmarkEnd w:id="94"/>
      <w:bookmarkEnd w:id="9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确定爆炸发生位置及引起爆炸的物质类别及爆炸类型（物理爆炸、化学爆炸），初步判断是否存在二次爆炸的可能性。物理爆炸则重点关注爆炸装置的工作温度、压力及相邻装置的运行情况，谨防相邻装置二次爆炸；化学爆炸，则须关注现场点火源的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）确定警戒范围，隔离外围群众、疏散警戒范围内的群众，禁止无关人员进入现场。交通部门应提前引导无关车辆绕行。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）如有易燃物质则应注意消除火种。在警戒区内停电、停火，消除可能引发火灾和爆炸的火种。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救援人员在进入危险区前宜用水枪将地面喷湿，防止摩擦、撞击产生火花，要特别注意避免泄露的易燃液体随水流扩散。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）调集相应的消防、企业应急救援队伍、专业应急救援队伍、专家等救援力量赶赴现场。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）若是化学爆炸，现场监测组加强监测事故现场的易燃易爆气体浓度及气象条件。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）专家组根据现场气体浓度及爆炸源的情况确定是否有二次爆炸的危险，确定应采取的处置措施。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）制定救援方案并组织实施。</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8</w:t>
      </w:r>
      <w:r>
        <w:rPr>
          <w:rFonts w:hint="eastAsia" w:ascii="仿宋_GB2312" w:hAnsi="仿宋_GB2312" w:eastAsia="仿宋_GB2312" w:cs="仿宋_GB2312"/>
          <w:sz w:val="32"/>
          <w:szCs w:val="32"/>
        </w:rPr>
        <w:t>）根据现场事态的发展及时调整救援方案，并及时将现场情况报县危险化学品生产安全事故应急救援指挥部。</w:t>
      </w:r>
    </w:p>
    <w:p>
      <w:pPr>
        <w:pStyle w:val="5"/>
        <w:spacing w:beforeAutospacing="0" w:afterAutospacing="0" w:line="560" w:lineRule="exact"/>
        <w:ind w:firstLine="642" w:firstLineChars="200"/>
        <w:rPr>
          <w:rFonts w:hint="default" w:ascii="仿宋_GB2312" w:hAnsi="仿宋_GB2312" w:eastAsia="仿宋_GB2312" w:cs="仿宋_GB2312"/>
          <w:bCs/>
          <w:szCs w:val="32"/>
        </w:rPr>
      </w:pPr>
      <w:bookmarkStart w:id="96" w:name="_Toc6343"/>
      <w:bookmarkStart w:id="97" w:name="_Toc11085"/>
      <w:r>
        <w:rPr>
          <w:rFonts w:hint="default" w:ascii="Times New Roman" w:hAnsi="Times New Roman" w:eastAsia="仿宋_GB2312"/>
          <w:bCs/>
          <w:szCs w:val="32"/>
        </w:rPr>
        <w:t>9</w:t>
      </w:r>
      <w:r>
        <w:rPr>
          <w:rFonts w:ascii="仿宋_GB2312" w:hAnsi="仿宋_GB2312" w:eastAsia="仿宋_GB2312" w:cs="仿宋_GB2312"/>
          <w:bCs/>
          <w:szCs w:val="32"/>
        </w:rPr>
        <w:t>.</w:t>
      </w:r>
      <w:r>
        <w:rPr>
          <w:rFonts w:hint="default" w:ascii="Times New Roman" w:hAnsi="Times New Roman" w:eastAsia="仿宋_GB2312"/>
          <w:bCs/>
          <w:szCs w:val="32"/>
        </w:rPr>
        <w:t>4</w:t>
      </w:r>
      <w:r>
        <w:rPr>
          <w:rFonts w:ascii="仿宋_GB2312" w:hAnsi="仿宋_GB2312" w:eastAsia="仿宋_GB2312" w:cs="仿宋_GB2312"/>
          <w:bCs/>
          <w:szCs w:val="32"/>
        </w:rPr>
        <w:t>.</w:t>
      </w:r>
      <w:r>
        <w:rPr>
          <w:rFonts w:hint="default" w:ascii="Times New Roman" w:hAnsi="Times New Roman" w:eastAsia="仿宋_GB2312"/>
          <w:bCs/>
          <w:szCs w:val="32"/>
        </w:rPr>
        <w:t>3</w:t>
      </w:r>
      <w:r>
        <w:rPr>
          <w:rFonts w:ascii="仿宋_GB2312" w:hAnsi="仿宋_GB2312" w:eastAsia="仿宋_GB2312" w:cs="仿宋_GB2312"/>
          <w:bCs/>
          <w:szCs w:val="32"/>
        </w:rPr>
        <w:t>易燃、易爆物质泄漏事故现场处置要点</w:t>
      </w:r>
      <w:bookmarkEnd w:id="96"/>
      <w:bookmarkEnd w:id="9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）确定泄漏的化学品种类及性质（主要是沸点、闪点、爆炸极限等）、泄漏源的位置及泄露现场点火源情况。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）确定警戒范围。当地人民政府负责现场疏散组隔离外围群众、疏散警戒范围内的群众，疏散过程中应注意群众的个体防护。安全保卫组禁止无关人员进入现场。交通部门注意提前引导无关车辆绕行。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）调集相应的消防、企业应急救援队伍、专业应急救援队伍、防化兵部队、专家等救援力量赶赴现场。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）现场指挥部确定泄漏源的周围环境（环境功能区、人口密度等），明确周围区域存在的重大危险源分布情况。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）现场监测组检测泄漏物质是否进入大气、附近水源、下水道等场所；加强现场大气、土壤、气象信息等监测,明确泄漏危及周围环境的可能性。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）专家组根据事故现场实际或估算的泄漏量确定泄漏时间或预计持续时间，预测泄漏扩散趋势，确定主要的控制措施（如堵漏、工程抢险、人员疏散、医疗救护等）。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）制定应急救援方案并组织实施。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8</w:t>
      </w:r>
      <w:r>
        <w:rPr>
          <w:rFonts w:hint="eastAsia" w:ascii="仿宋_GB2312" w:hAnsi="仿宋_GB2312" w:eastAsia="仿宋_GB2312" w:cs="仿宋_GB2312"/>
          <w:sz w:val="32"/>
          <w:szCs w:val="32"/>
        </w:rPr>
        <w:t>）各救援组实施救援方案，抢险组进入现场控制泄漏源，抢救泄漏设备。出现意外情况，立即撤离。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9</w:t>
      </w:r>
      <w:r>
        <w:rPr>
          <w:rFonts w:hint="eastAsia" w:ascii="仿宋_GB2312" w:hAnsi="仿宋_GB2312" w:eastAsia="仿宋_GB2312" w:cs="仿宋_GB2312"/>
          <w:sz w:val="32"/>
          <w:szCs w:val="32"/>
        </w:rPr>
        <w:t>）现场指挥部根据现场事态的发展及时调整救援方案，并及时将现场情况报县危险化学品生产安全事故应急救援指挥部。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）特殊情况。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①发生危险化学品道路运输事故，引起易燃液体罐车翻车导致泄漏的，除了上述应急响应行动外，应注意泄露的液体流动沿路流散导致事故扩大。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②危险化学品水路运输事故中，发生码头或船舶易燃液体槽罐泄漏的，除了上述应急响应行动外，应注意防止泄露的化学品对下游流域水体造成污染。</w:t>
      </w:r>
    </w:p>
    <w:p>
      <w:pPr>
        <w:pStyle w:val="5"/>
        <w:spacing w:beforeAutospacing="0" w:afterAutospacing="0" w:line="560" w:lineRule="exact"/>
        <w:ind w:firstLine="642" w:firstLineChars="200"/>
        <w:rPr>
          <w:rFonts w:hint="default"/>
          <w:b w:val="0"/>
          <w:szCs w:val="32"/>
        </w:rPr>
      </w:pPr>
      <w:bookmarkStart w:id="98" w:name="_Toc4457"/>
      <w:bookmarkStart w:id="99" w:name="_Toc7671"/>
      <w:r>
        <w:rPr>
          <w:rFonts w:hint="default" w:ascii="Times New Roman" w:hAnsi="Times New Roman" w:eastAsia="仿宋_GB2312"/>
          <w:bCs/>
          <w:szCs w:val="32"/>
        </w:rPr>
        <w:t>9</w:t>
      </w:r>
      <w:r>
        <w:rPr>
          <w:rFonts w:ascii="仿宋_GB2312" w:hAnsi="仿宋_GB2312" w:eastAsia="仿宋_GB2312" w:cs="仿宋_GB2312"/>
          <w:bCs/>
          <w:szCs w:val="32"/>
        </w:rPr>
        <w:t>.</w:t>
      </w:r>
      <w:r>
        <w:rPr>
          <w:rFonts w:hint="default" w:ascii="Times New Roman" w:hAnsi="Times New Roman" w:eastAsia="仿宋_GB2312"/>
          <w:bCs/>
          <w:szCs w:val="32"/>
        </w:rPr>
        <w:t>4</w:t>
      </w:r>
      <w:r>
        <w:rPr>
          <w:rFonts w:ascii="仿宋_GB2312" w:hAnsi="仿宋_GB2312" w:eastAsia="仿宋_GB2312" w:cs="仿宋_GB2312"/>
          <w:bCs/>
          <w:szCs w:val="32"/>
        </w:rPr>
        <w:t>.</w:t>
      </w:r>
      <w:r>
        <w:rPr>
          <w:rFonts w:hint="default" w:ascii="Times New Roman" w:hAnsi="Times New Roman" w:eastAsia="仿宋_GB2312"/>
          <w:bCs/>
          <w:szCs w:val="32"/>
        </w:rPr>
        <w:t>4</w:t>
      </w:r>
      <w:r>
        <w:rPr>
          <w:rFonts w:ascii="仿宋_GB2312" w:hAnsi="仿宋_GB2312" w:eastAsia="仿宋_GB2312" w:cs="仿宋_GB2312"/>
          <w:bCs/>
          <w:szCs w:val="32"/>
        </w:rPr>
        <w:t>有毒物质泄漏事故现场处置要点</w:t>
      </w:r>
      <w:bookmarkEnd w:id="98"/>
      <w:bookmarkEnd w:id="9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立刻进行疏散。现场指挥部应根据泄漏的化学品种类及泄漏源的位置，并考虑风速风向、泄漏量、周围环境等确定警戒范围，警戒范围宜大不宜小。当地人民政府尽快疏散警戒范围内的群众，疏散过程中应注意群众的个体防护，安全保卫组禁止无关人员进入现场。交通部门注意提前引导无关车辆绕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）调集医疗急救力量携带必需的药品赶赴现场。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）调集所需的消防、企业应急救援队伍、专业应急救援队伍、防化兵部队、专家等救援力量赶赴现场。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）检测泄漏物质是否进入大气、附近水源、下水道等场所；加强现场大气、土壤、气象信息等监测,明确泄漏危及周围环境的可能性。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）专家组根据企业提供的情况及现场监测的实际或估算的泄漏量，确定泄漏时间或预计持续时间。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）制定应急救援方案，并实施救援。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）现场指挥部根据现场事态的发展及时调整救援方案，并及时将现场情况报县危险化学品生产安全事故应急救援指挥部。</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0"/>
                  <w:ind w:left="420" w:leftChars="200" w:right="420" w:rightChars="2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22E08ED"/>
    <w:rsid w:val="001D3078"/>
    <w:rsid w:val="003155E1"/>
    <w:rsid w:val="0039466E"/>
    <w:rsid w:val="00592579"/>
    <w:rsid w:val="0079778C"/>
    <w:rsid w:val="0090112C"/>
    <w:rsid w:val="00BD61BA"/>
    <w:rsid w:val="00C26C87"/>
    <w:rsid w:val="00C74A9A"/>
    <w:rsid w:val="00D87C97"/>
    <w:rsid w:val="01457494"/>
    <w:rsid w:val="01911E7D"/>
    <w:rsid w:val="01962AE8"/>
    <w:rsid w:val="043D6903"/>
    <w:rsid w:val="07991F95"/>
    <w:rsid w:val="07B561C4"/>
    <w:rsid w:val="0B6B1BB3"/>
    <w:rsid w:val="0B90002E"/>
    <w:rsid w:val="0BA92180"/>
    <w:rsid w:val="0D496AF1"/>
    <w:rsid w:val="0D8017EA"/>
    <w:rsid w:val="0DC25F87"/>
    <w:rsid w:val="1070376B"/>
    <w:rsid w:val="10786539"/>
    <w:rsid w:val="11117570"/>
    <w:rsid w:val="16165BC0"/>
    <w:rsid w:val="16F62B45"/>
    <w:rsid w:val="17051097"/>
    <w:rsid w:val="17902B67"/>
    <w:rsid w:val="17B81A1A"/>
    <w:rsid w:val="17CE0D9B"/>
    <w:rsid w:val="1AAF1E28"/>
    <w:rsid w:val="1BC37A06"/>
    <w:rsid w:val="1CA612E6"/>
    <w:rsid w:val="1D0F12F8"/>
    <w:rsid w:val="1D2F216B"/>
    <w:rsid w:val="1D9A3A45"/>
    <w:rsid w:val="1DCD4CA0"/>
    <w:rsid w:val="1DDE0A56"/>
    <w:rsid w:val="1DE30D68"/>
    <w:rsid w:val="1E2D4221"/>
    <w:rsid w:val="1E8A11E8"/>
    <w:rsid w:val="1EE45C0E"/>
    <w:rsid w:val="24C848A3"/>
    <w:rsid w:val="25135FEF"/>
    <w:rsid w:val="252F7807"/>
    <w:rsid w:val="254E56EF"/>
    <w:rsid w:val="26926EF4"/>
    <w:rsid w:val="2696077D"/>
    <w:rsid w:val="27047836"/>
    <w:rsid w:val="27950FBE"/>
    <w:rsid w:val="27B762F6"/>
    <w:rsid w:val="28A96CB8"/>
    <w:rsid w:val="2A4977FA"/>
    <w:rsid w:val="2AE32F31"/>
    <w:rsid w:val="2AF55921"/>
    <w:rsid w:val="2DC64BC8"/>
    <w:rsid w:val="2FE944E1"/>
    <w:rsid w:val="30431DDE"/>
    <w:rsid w:val="3369273D"/>
    <w:rsid w:val="346B2766"/>
    <w:rsid w:val="34AF303E"/>
    <w:rsid w:val="34D3233E"/>
    <w:rsid w:val="35105217"/>
    <w:rsid w:val="357911B1"/>
    <w:rsid w:val="369760AC"/>
    <w:rsid w:val="38B04541"/>
    <w:rsid w:val="38BC49F7"/>
    <w:rsid w:val="394F7473"/>
    <w:rsid w:val="3ACA4C8F"/>
    <w:rsid w:val="3D687A11"/>
    <w:rsid w:val="3DAE5554"/>
    <w:rsid w:val="3E956BFA"/>
    <w:rsid w:val="3F262C8D"/>
    <w:rsid w:val="425B3535"/>
    <w:rsid w:val="43665F19"/>
    <w:rsid w:val="44D02516"/>
    <w:rsid w:val="4697283C"/>
    <w:rsid w:val="46F94D21"/>
    <w:rsid w:val="495C4E41"/>
    <w:rsid w:val="49AB64E8"/>
    <w:rsid w:val="4A8974AF"/>
    <w:rsid w:val="4AC26481"/>
    <w:rsid w:val="4C502500"/>
    <w:rsid w:val="4E100FD2"/>
    <w:rsid w:val="4F4201E5"/>
    <w:rsid w:val="509D2C0E"/>
    <w:rsid w:val="50C227A2"/>
    <w:rsid w:val="51A53260"/>
    <w:rsid w:val="522E08ED"/>
    <w:rsid w:val="53D51149"/>
    <w:rsid w:val="53E60319"/>
    <w:rsid w:val="55B825BE"/>
    <w:rsid w:val="56403D3D"/>
    <w:rsid w:val="57320BAF"/>
    <w:rsid w:val="578D572A"/>
    <w:rsid w:val="587A7FF8"/>
    <w:rsid w:val="59D81C2A"/>
    <w:rsid w:val="5A980147"/>
    <w:rsid w:val="5AE651A3"/>
    <w:rsid w:val="5BBF21D7"/>
    <w:rsid w:val="5BCD6ACF"/>
    <w:rsid w:val="5CC80268"/>
    <w:rsid w:val="5CE50F5F"/>
    <w:rsid w:val="5D1615C7"/>
    <w:rsid w:val="5DB071D5"/>
    <w:rsid w:val="60CE6FAC"/>
    <w:rsid w:val="628F3122"/>
    <w:rsid w:val="62AA694D"/>
    <w:rsid w:val="64282B10"/>
    <w:rsid w:val="673B2911"/>
    <w:rsid w:val="69D30510"/>
    <w:rsid w:val="6B110468"/>
    <w:rsid w:val="6C626B88"/>
    <w:rsid w:val="6D8F3FCC"/>
    <w:rsid w:val="6EF32419"/>
    <w:rsid w:val="6F502C56"/>
    <w:rsid w:val="71057E77"/>
    <w:rsid w:val="72DA7450"/>
    <w:rsid w:val="74EF2D64"/>
    <w:rsid w:val="766F4868"/>
    <w:rsid w:val="77A829BC"/>
    <w:rsid w:val="78760862"/>
    <w:rsid w:val="79725A1A"/>
    <w:rsid w:val="7A986F63"/>
    <w:rsid w:val="7BFA6029"/>
    <w:rsid w:val="7C8C7708"/>
    <w:rsid w:val="7FDB491F"/>
    <w:rsid w:val="B8B22642"/>
    <w:rsid w:val="BFBCD331"/>
    <w:rsid w:val="F6FF63F8"/>
    <w:rsid w:val="F7F5EB33"/>
    <w:rsid w:val="FFDDF6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黑体" w:cs="Times New Roman"/>
      <w:b/>
      <w:kern w:val="44"/>
      <w:sz w:val="32"/>
      <w:szCs w:val="48"/>
    </w:rPr>
  </w:style>
  <w:style w:type="paragraph" w:styleId="4">
    <w:name w:val="heading 2"/>
    <w:basedOn w:val="1"/>
    <w:next w:val="1"/>
    <w:link w:val="18"/>
    <w:unhideWhenUsed/>
    <w:qFormat/>
    <w:uiPriority w:val="0"/>
    <w:pPr>
      <w:spacing w:beforeAutospacing="1" w:afterAutospacing="1"/>
      <w:jc w:val="left"/>
      <w:outlineLvl w:val="1"/>
    </w:pPr>
    <w:rPr>
      <w:rFonts w:hint="eastAsia" w:ascii="宋体" w:hAnsi="宋体" w:eastAsia="楷体" w:cs="Times New Roman"/>
      <w:b/>
      <w:kern w:val="0"/>
      <w:sz w:val="32"/>
      <w:szCs w:val="36"/>
    </w:rPr>
  </w:style>
  <w:style w:type="paragraph" w:styleId="5">
    <w:name w:val="heading 3"/>
    <w:basedOn w:val="1"/>
    <w:next w:val="1"/>
    <w:link w:val="19"/>
    <w:unhideWhenUsed/>
    <w:qFormat/>
    <w:uiPriority w:val="0"/>
    <w:pPr>
      <w:spacing w:beforeAutospacing="1" w:afterAutospacing="1"/>
      <w:jc w:val="left"/>
      <w:outlineLvl w:val="2"/>
    </w:pPr>
    <w:rPr>
      <w:rFonts w:hint="eastAsia" w:ascii="宋体" w:hAnsi="宋体" w:eastAsia="仿宋" w:cs="Times New Roman"/>
      <w:b/>
      <w:kern w:val="0"/>
      <w:sz w:val="32"/>
      <w:szCs w:val="27"/>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7">
    <w:name w:val="Body Text"/>
    <w:basedOn w:val="1"/>
    <w:qFormat/>
    <w:uiPriority w:val="0"/>
    <w:pPr>
      <w:spacing w:after="120"/>
    </w:pPr>
  </w:style>
  <w:style w:type="paragraph" w:styleId="8">
    <w:name w:val="toc 3"/>
    <w:basedOn w:val="1"/>
    <w:next w:val="1"/>
    <w:qFormat/>
    <w:uiPriority w:val="0"/>
    <w:pPr>
      <w:ind w:left="840" w:leftChars="400"/>
    </w:pPr>
  </w:style>
  <w:style w:type="paragraph" w:styleId="9">
    <w:name w:val="Balloon Text"/>
    <w:basedOn w:val="1"/>
    <w:link w:val="2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character" w:styleId="17">
    <w:name w:val="page number"/>
    <w:basedOn w:val="16"/>
    <w:qFormat/>
    <w:uiPriority w:val="0"/>
  </w:style>
  <w:style w:type="character" w:customStyle="1" w:styleId="18">
    <w:name w:val="标题 2 Char"/>
    <w:link w:val="4"/>
    <w:qFormat/>
    <w:uiPriority w:val="0"/>
    <w:rPr>
      <w:rFonts w:hint="eastAsia" w:ascii="宋体" w:hAnsi="宋体" w:eastAsia="楷体" w:cs="宋体"/>
      <w:b/>
      <w:kern w:val="0"/>
      <w:sz w:val="32"/>
      <w:szCs w:val="36"/>
    </w:rPr>
  </w:style>
  <w:style w:type="character" w:customStyle="1" w:styleId="19">
    <w:name w:val="标题 3 Char"/>
    <w:link w:val="5"/>
    <w:qFormat/>
    <w:uiPriority w:val="0"/>
    <w:rPr>
      <w:rFonts w:hint="eastAsia" w:ascii="宋体" w:hAnsi="宋体" w:eastAsia="仿宋" w:cs="宋体"/>
      <w:b/>
      <w:kern w:val="0"/>
      <w:sz w:val="32"/>
      <w:szCs w:val="27"/>
    </w:rPr>
  </w:style>
  <w:style w:type="character" w:customStyle="1" w:styleId="20">
    <w:name w:val="批注框文本 Char"/>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4177</Words>
  <Characters>23815</Characters>
  <Lines>198</Lines>
  <Paragraphs>55</Paragraphs>
  <TotalTime>4</TotalTime>
  <ScaleCrop>false</ScaleCrop>
  <LinksUpToDate>false</LinksUpToDate>
  <CharactersWithSpaces>27937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2022-06-29T04:38:00Z</dcterms:created>
  <dc:creator>梁鸿尤</dc:creator>
  <cp:lastModifiedBy>gxxc</cp:lastModifiedBy>
  <cp:lastPrinted>2022-06-10T18:28:00Z</cp:lastPrinted>
  <dcterms:modified xsi:type="dcterms:W3CDTF">2022-10-13T08:45:59Z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023427388406422CA8A115BAC71AEE79</vt:lpwstr>
  </property>
</Properties>
</file>